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D9B5E" w14:textId="77777777" w:rsidR="00933901" w:rsidRPr="00C7692A" w:rsidRDefault="00144A2B" w:rsidP="009F4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SVEUČILIŠTE U SPLITU, MEDICINSKI FAKULTET</w:t>
      </w:r>
    </w:p>
    <w:p w14:paraId="3ADE5FBB" w14:textId="59C4678D" w:rsidR="00933901" w:rsidRPr="00C7692A" w:rsidRDefault="00933901" w:rsidP="009F4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Šoltanska 2</w:t>
      </w:r>
      <w:r w:rsidR="00271A52" w:rsidRPr="00C7692A">
        <w:rPr>
          <w:rFonts w:ascii="Times New Roman" w:hAnsi="Times New Roman" w:cs="Times New Roman"/>
          <w:b/>
          <w:sz w:val="24"/>
          <w:szCs w:val="24"/>
        </w:rPr>
        <w:t>A</w:t>
      </w:r>
      <w:r w:rsidRPr="00C7692A">
        <w:rPr>
          <w:rFonts w:ascii="Times New Roman" w:hAnsi="Times New Roman" w:cs="Times New Roman"/>
          <w:b/>
          <w:sz w:val="24"/>
          <w:szCs w:val="24"/>
        </w:rPr>
        <w:t>, 21000 Split</w:t>
      </w:r>
    </w:p>
    <w:p w14:paraId="000B6912" w14:textId="77777777" w:rsidR="00933901" w:rsidRPr="00C7692A" w:rsidRDefault="00933901" w:rsidP="009F4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OIB: 02879747067</w:t>
      </w:r>
    </w:p>
    <w:p w14:paraId="50CA8CBD" w14:textId="5095B05A" w:rsidR="00933901" w:rsidRPr="00C7692A" w:rsidRDefault="00933901" w:rsidP="009F4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RKP: 22451</w:t>
      </w:r>
    </w:p>
    <w:p w14:paraId="1B03EAD4" w14:textId="77777777" w:rsidR="009F429E" w:rsidRPr="00C7692A" w:rsidRDefault="009F429E" w:rsidP="009F429E">
      <w:pPr>
        <w:spacing w:after="0" w:line="252" w:lineRule="auto"/>
        <w:ind w:firstLine="5"/>
        <w:rPr>
          <w:rFonts w:ascii="Times New Roman" w:hAnsi="Times New Roman" w:cs="Times New Roman"/>
          <w:sz w:val="24"/>
          <w:szCs w:val="24"/>
        </w:rPr>
      </w:pPr>
    </w:p>
    <w:p w14:paraId="660EB738" w14:textId="77777777" w:rsidR="0014109F" w:rsidRPr="00C7692A" w:rsidRDefault="0014109F" w:rsidP="0014109F">
      <w:pPr>
        <w:spacing w:after="0"/>
        <w:ind w:left="38" w:right="14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Klasa: 400-02/24-01/0001</w:t>
      </w:r>
    </w:p>
    <w:p w14:paraId="5D97BD3A" w14:textId="77777777" w:rsidR="0014109F" w:rsidRPr="00C7692A" w:rsidRDefault="0014109F" w:rsidP="0014109F">
      <w:pPr>
        <w:spacing w:after="0"/>
        <w:ind w:left="38" w:right="14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Ur. broj: 2181-198-04-07-24-0001</w:t>
      </w:r>
    </w:p>
    <w:p w14:paraId="21434AC4" w14:textId="77777777" w:rsidR="0014109F" w:rsidRPr="00C7692A" w:rsidRDefault="0014109F" w:rsidP="001410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97FBE0" w14:textId="72868485" w:rsidR="0014109F" w:rsidRPr="00C7692A" w:rsidRDefault="0014109F" w:rsidP="00141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 U Splitu, </w:t>
      </w:r>
      <w:r w:rsidR="00F91BB8">
        <w:rPr>
          <w:rFonts w:ascii="Times New Roman" w:hAnsi="Times New Roman" w:cs="Times New Roman"/>
          <w:sz w:val="24"/>
          <w:szCs w:val="24"/>
        </w:rPr>
        <w:t>12.12</w:t>
      </w:r>
      <w:r w:rsidRPr="00C7692A">
        <w:rPr>
          <w:rFonts w:ascii="Times New Roman" w:hAnsi="Times New Roman" w:cs="Times New Roman"/>
          <w:sz w:val="24"/>
          <w:szCs w:val="24"/>
        </w:rPr>
        <w:t>.2024.</w:t>
      </w:r>
    </w:p>
    <w:p w14:paraId="01CD3824" w14:textId="77777777" w:rsidR="00933901" w:rsidRPr="00C7692A" w:rsidRDefault="0093390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95366" w14:textId="35BC2AF0" w:rsidR="00271A52" w:rsidRPr="00C7692A" w:rsidRDefault="00271A52" w:rsidP="00271A52">
      <w:pPr>
        <w:spacing w:after="541" w:line="2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1885504"/>
      <w:r w:rsidRPr="00C7692A">
        <w:rPr>
          <w:rFonts w:ascii="Times New Roman" w:hAnsi="Times New Roman" w:cs="Times New Roman"/>
          <w:b/>
          <w:sz w:val="24"/>
          <w:szCs w:val="24"/>
        </w:rPr>
        <w:t>OBRAZLOŽENJE OPĆEG DIJELA FINANCIJSKOG PLANA MEDICINSKOG FAKULTETA U SPLITU ZA RAZDOBLJE 2025.-2027.</w:t>
      </w:r>
    </w:p>
    <w:bookmarkEnd w:id="0"/>
    <w:p w14:paraId="54A10A8D" w14:textId="77777777" w:rsidR="00B7793B" w:rsidRPr="00C7692A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EB676" w14:textId="77777777" w:rsidR="00F471E7" w:rsidRPr="00C7692A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524AB4A4" w14:textId="3FC7996E" w:rsidR="00955BA8" w:rsidRPr="00C7692A" w:rsidRDefault="00955BA8" w:rsidP="00955BA8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Ukupni prihodi se u razdoblju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godini planiraju ostvariti u sl</w:t>
      </w:r>
      <w:r w:rsidR="00A94FD3" w:rsidRPr="00C7692A">
        <w:rPr>
          <w:rFonts w:ascii="Times New Roman" w:hAnsi="Times New Roman" w:cs="Times New Roman"/>
          <w:sz w:val="24"/>
          <w:szCs w:val="24"/>
        </w:rPr>
        <w:t>j</w:t>
      </w:r>
      <w:r w:rsidRPr="00C7692A">
        <w:rPr>
          <w:rFonts w:ascii="Times New Roman" w:hAnsi="Times New Roman" w:cs="Times New Roman"/>
          <w:sz w:val="24"/>
          <w:szCs w:val="24"/>
        </w:rPr>
        <w:t>edećim iznosima</w:t>
      </w:r>
    </w:p>
    <w:p w14:paraId="1700E760" w14:textId="77777777" w:rsidR="00955BA8" w:rsidRPr="00C7692A" w:rsidRDefault="00955BA8" w:rsidP="00955BA8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 ( EUR):</w:t>
      </w:r>
    </w:p>
    <w:p w14:paraId="18B901A7" w14:textId="77777777" w:rsidR="00955BA8" w:rsidRPr="00C7692A" w:rsidRDefault="00955BA8" w:rsidP="0095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0" w:type="dxa"/>
        <w:tblLook w:val="04A0" w:firstRow="1" w:lastRow="0" w:firstColumn="1" w:lastColumn="0" w:noHBand="0" w:noVBand="1"/>
      </w:tblPr>
      <w:tblGrid>
        <w:gridCol w:w="1720"/>
        <w:gridCol w:w="1660"/>
        <w:gridCol w:w="1600"/>
      </w:tblGrid>
      <w:tr w:rsidR="00955BA8" w:rsidRPr="00C7692A" w14:paraId="21ACFCA7" w14:textId="77777777" w:rsidTr="00F7685D">
        <w:trPr>
          <w:trHeight w:val="300"/>
        </w:trPr>
        <w:tc>
          <w:tcPr>
            <w:tcW w:w="1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C812ADA" w14:textId="5AF9B64A" w:rsidR="00955BA8" w:rsidRPr="00C7692A" w:rsidRDefault="0014109F" w:rsidP="00F7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18.</w:t>
            </w:r>
            <w:r w:rsidR="00F91BB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129.742</w:t>
            </w:r>
          </w:p>
        </w:tc>
        <w:tc>
          <w:tcPr>
            <w:tcW w:w="166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255B61A" w14:textId="6D6F055E" w:rsidR="00955BA8" w:rsidRPr="00C7692A" w:rsidRDefault="0014109F" w:rsidP="00F7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15.</w:t>
            </w:r>
            <w:r w:rsidR="00F91BB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616.263</w:t>
            </w:r>
          </w:p>
        </w:tc>
        <w:tc>
          <w:tcPr>
            <w:tcW w:w="16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D37D32B" w14:textId="6995868C" w:rsidR="00955BA8" w:rsidRPr="00C7692A" w:rsidRDefault="0014109F" w:rsidP="00F7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13.</w:t>
            </w:r>
            <w:r w:rsidR="00F91BB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803.012</w:t>
            </w:r>
          </w:p>
        </w:tc>
      </w:tr>
    </w:tbl>
    <w:p w14:paraId="046558F4" w14:textId="77777777" w:rsidR="00C26489" w:rsidRPr="00C7692A" w:rsidRDefault="00C26489" w:rsidP="00C12D8A">
      <w:pPr>
        <w:spacing w:after="0"/>
        <w:ind w:right="14"/>
        <w:rPr>
          <w:rFonts w:ascii="Times New Roman" w:hAnsi="Times New Roman" w:cs="Times New Roman"/>
          <w:sz w:val="24"/>
          <w:szCs w:val="24"/>
        </w:rPr>
      </w:pPr>
    </w:p>
    <w:p w14:paraId="34D123AB" w14:textId="77777777" w:rsidR="007924CD" w:rsidRPr="00C7692A" w:rsidRDefault="00C12D8A" w:rsidP="007924CD">
      <w:pPr>
        <w:spacing w:after="0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 xml:space="preserve">. godini se planira </w:t>
      </w:r>
      <w:r w:rsidR="0014109F" w:rsidRPr="00C7692A">
        <w:rPr>
          <w:rFonts w:ascii="Times New Roman" w:hAnsi="Times New Roman" w:cs="Times New Roman"/>
          <w:sz w:val="24"/>
          <w:szCs w:val="24"/>
        </w:rPr>
        <w:t>rast</w:t>
      </w:r>
      <w:r w:rsidR="002768DF" w:rsidRPr="00C7692A">
        <w:rPr>
          <w:rFonts w:ascii="Times New Roman" w:hAnsi="Times New Roman" w:cs="Times New Roman"/>
          <w:sz w:val="24"/>
          <w:szCs w:val="24"/>
        </w:rPr>
        <w:t xml:space="preserve"> p</w:t>
      </w:r>
      <w:r w:rsidRPr="00C7692A">
        <w:rPr>
          <w:rFonts w:ascii="Times New Roman" w:hAnsi="Times New Roman" w:cs="Times New Roman"/>
          <w:sz w:val="24"/>
          <w:szCs w:val="24"/>
        </w:rPr>
        <w:t xml:space="preserve">rihoda za </w:t>
      </w:r>
      <w:r w:rsidR="0014109F" w:rsidRPr="00C7692A">
        <w:rPr>
          <w:rFonts w:ascii="Times New Roman" w:hAnsi="Times New Roman" w:cs="Times New Roman"/>
          <w:sz w:val="24"/>
          <w:szCs w:val="24"/>
        </w:rPr>
        <w:t>52%</w:t>
      </w:r>
      <w:r w:rsidRPr="00C7692A">
        <w:rPr>
          <w:rFonts w:ascii="Times New Roman" w:hAnsi="Times New Roman" w:cs="Times New Roman"/>
          <w:sz w:val="24"/>
          <w:szCs w:val="24"/>
        </w:rPr>
        <w:t xml:space="preserve"> u odnosu na realizaciju prihoda 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3</w:t>
      </w:r>
      <w:r w:rsidRPr="00C7692A">
        <w:rPr>
          <w:rFonts w:ascii="Times New Roman" w:hAnsi="Times New Roman" w:cs="Times New Roman"/>
          <w:sz w:val="24"/>
          <w:szCs w:val="24"/>
        </w:rPr>
        <w:t>. godini</w:t>
      </w:r>
      <w:r w:rsidR="00C26489" w:rsidRPr="00C7692A">
        <w:rPr>
          <w:rFonts w:ascii="Times New Roman" w:hAnsi="Times New Roman" w:cs="Times New Roman"/>
          <w:sz w:val="24"/>
          <w:szCs w:val="24"/>
        </w:rPr>
        <w:t xml:space="preserve">, te </w:t>
      </w:r>
      <w:r w:rsidR="0014109F" w:rsidRPr="00C7692A">
        <w:rPr>
          <w:rFonts w:ascii="Times New Roman" w:hAnsi="Times New Roman" w:cs="Times New Roman"/>
          <w:sz w:val="24"/>
          <w:szCs w:val="24"/>
        </w:rPr>
        <w:t>rast u visini 49</w:t>
      </w:r>
      <w:r w:rsidR="00C26489" w:rsidRPr="00C7692A">
        <w:rPr>
          <w:rFonts w:ascii="Times New Roman" w:hAnsi="Times New Roman" w:cs="Times New Roman"/>
          <w:sz w:val="24"/>
          <w:szCs w:val="24"/>
        </w:rPr>
        <w:t>% u odnosu na plan za 202</w:t>
      </w:r>
      <w:r w:rsidR="00DA46F3" w:rsidRPr="00C7692A">
        <w:rPr>
          <w:rFonts w:ascii="Times New Roman" w:hAnsi="Times New Roman" w:cs="Times New Roman"/>
          <w:sz w:val="24"/>
          <w:szCs w:val="24"/>
        </w:rPr>
        <w:t>4</w:t>
      </w:r>
      <w:r w:rsidR="00C26489" w:rsidRPr="00C7692A">
        <w:rPr>
          <w:rFonts w:ascii="Times New Roman" w:hAnsi="Times New Roman" w:cs="Times New Roman"/>
          <w:sz w:val="24"/>
          <w:szCs w:val="24"/>
        </w:rPr>
        <w:t>. godinu.</w:t>
      </w:r>
      <w:r w:rsidR="002768DF" w:rsidRPr="00C7692A">
        <w:rPr>
          <w:rFonts w:ascii="Times New Roman" w:hAnsi="Times New Roman" w:cs="Times New Roman"/>
          <w:sz w:val="24"/>
          <w:szCs w:val="24"/>
        </w:rPr>
        <w:t xml:space="preserve"> Navedeni </w:t>
      </w:r>
      <w:r w:rsidR="0014109F" w:rsidRPr="00C7692A">
        <w:rPr>
          <w:rFonts w:ascii="Times New Roman" w:hAnsi="Times New Roman" w:cs="Times New Roman"/>
          <w:sz w:val="24"/>
          <w:szCs w:val="24"/>
        </w:rPr>
        <w:t>rast</w:t>
      </w:r>
      <w:r w:rsidR="002768DF" w:rsidRPr="00C7692A">
        <w:rPr>
          <w:rFonts w:ascii="Times New Roman" w:hAnsi="Times New Roman" w:cs="Times New Roman"/>
          <w:sz w:val="24"/>
          <w:szCs w:val="24"/>
        </w:rPr>
        <w:t xml:space="preserve"> prihoda </w:t>
      </w:r>
      <w:r w:rsidR="007924CD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je u najvećoj mjeri uzrokovan činjenicom da u 2025. godini počinje realizacija dva nova velika Obzor projekta kod kojih je prvi put MEFST koordinator uz veliki broj partnera na ta dva projekta (domaćih i stranih) te se planiraju i značajni rashodi za isplate navedenim partnerima na projektima. </w:t>
      </w:r>
    </w:p>
    <w:p w14:paraId="2B2A13A9" w14:textId="339CC766" w:rsidR="007924CD" w:rsidRPr="00C7692A" w:rsidRDefault="007924CD" w:rsidP="007924CD">
      <w:pPr>
        <w:spacing w:after="0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92A">
        <w:rPr>
          <w:rFonts w:ascii="Times New Roman" w:hAnsi="Times New Roman" w:cs="Times New Roman"/>
          <w:color w:val="000000"/>
          <w:sz w:val="24"/>
          <w:szCs w:val="24"/>
        </w:rPr>
        <w:t>U razdoblju 2026-2027. godine prihodi se planiraju na nešto  nižem nivou od 2025. godine radi očekivanog završetka dijela projekata koji su u tijeku te planirane dinamike realizacije postojećih projekata. Očekuje se da će se u međuvremenu pokrenuti novi projekti čija će realizacija biti u navedenim godinama</w:t>
      </w:r>
    </w:p>
    <w:p w14:paraId="3BC6C37B" w14:textId="5652378E" w:rsidR="00955BA8" w:rsidRPr="00C7692A" w:rsidRDefault="00955BA8" w:rsidP="007924CD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U razdoblju</w:t>
      </w:r>
      <w:r w:rsidR="00C26489" w:rsidRPr="00C7692A">
        <w:rPr>
          <w:rFonts w:ascii="Times New Roman" w:hAnsi="Times New Roman" w:cs="Times New Roman"/>
          <w:sz w:val="24"/>
          <w:szCs w:val="24"/>
        </w:rPr>
        <w:t xml:space="preserve">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="00C26489"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="00C26489" w:rsidRPr="00C7692A">
        <w:rPr>
          <w:rFonts w:ascii="Times New Roman" w:hAnsi="Times New Roman" w:cs="Times New Roman"/>
          <w:sz w:val="24"/>
          <w:szCs w:val="24"/>
        </w:rPr>
        <w:t>. godin</w:t>
      </w:r>
      <w:r w:rsidR="00A94FD3" w:rsidRPr="00C7692A">
        <w:rPr>
          <w:rFonts w:ascii="Times New Roman" w:hAnsi="Times New Roman" w:cs="Times New Roman"/>
          <w:sz w:val="24"/>
          <w:szCs w:val="24"/>
        </w:rPr>
        <w:t>e</w:t>
      </w:r>
      <w:r w:rsidRPr="00C7692A">
        <w:rPr>
          <w:rFonts w:ascii="Times New Roman" w:hAnsi="Times New Roman" w:cs="Times New Roman"/>
          <w:sz w:val="24"/>
          <w:szCs w:val="24"/>
        </w:rPr>
        <w:t xml:space="preserve"> primici nisu p</w:t>
      </w:r>
      <w:r w:rsidR="00C12D8A" w:rsidRPr="00C7692A">
        <w:rPr>
          <w:rFonts w:ascii="Times New Roman" w:hAnsi="Times New Roman" w:cs="Times New Roman"/>
          <w:sz w:val="24"/>
          <w:szCs w:val="24"/>
        </w:rPr>
        <w:t>l</w:t>
      </w:r>
      <w:r w:rsidRPr="00C7692A">
        <w:rPr>
          <w:rFonts w:ascii="Times New Roman" w:hAnsi="Times New Roman" w:cs="Times New Roman"/>
          <w:sz w:val="24"/>
          <w:szCs w:val="24"/>
        </w:rPr>
        <w:t>anirani</w:t>
      </w:r>
      <w:r w:rsidR="007924CD" w:rsidRPr="00C7692A">
        <w:rPr>
          <w:rFonts w:ascii="Times New Roman" w:hAnsi="Times New Roman" w:cs="Times New Roman"/>
          <w:sz w:val="24"/>
          <w:szCs w:val="24"/>
        </w:rPr>
        <w:t>.</w:t>
      </w:r>
    </w:p>
    <w:p w14:paraId="53462537" w14:textId="77777777" w:rsidR="00662506" w:rsidRPr="00C7692A" w:rsidRDefault="00662506" w:rsidP="000465B7">
      <w:pPr>
        <w:spacing w:after="0"/>
        <w:ind w:left="38" w:right="14"/>
        <w:rPr>
          <w:rFonts w:ascii="Times New Roman" w:hAnsi="Times New Roman" w:cs="Times New Roman"/>
          <w:sz w:val="24"/>
          <w:szCs w:val="24"/>
        </w:rPr>
      </w:pPr>
    </w:p>
    <w:p w14:paraId="450E9F86" w14:textId="0FAC36A6" w:rsidR="00B633FC" w:rsidRPr="00C7692A" w:rsidRDefault="00B633FC" w:rsidP="000465B7">
      <w:pPr>
        <w:spacing w:after="0"/>
        <w:ind w:left="38" w:right="14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Osnovni izvori financiranja u razdoblju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su:</w:t>
      </w:r>
    </w:p>
    <w:p w14:paraId="5D0AAAC6" w14:textId="77777777" w:rsidR="00B633FC" w:rsidRPr="00C7692A" w:rsidRDefault="00B633FC" w:rsidP="003A476B">
      <w:pPr>
        <w:spacing w:after="0"/>
        <w:ind w:left="446" w:right="14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l.   Opći prihodi i primici</w:t>
      </w:r>
    </w:p>
    <w:p w14:paraId="7D4658A0" w14:textId="77777777" w:rsidR="009F002F" w:rsidRPr="00C7692A" w:rsidRDefault="009F002F" w:rsidP="003A476B">
      <w:pPr>
        <w:spacing w:after="0"/>
        <w:ind w:left="446" w:right="14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2.   Sredstva učešća za pomoći (učešće državnog proračuna u EU projektima)</w:t>
      </w:r>
    </w:p>
    <w:p w14:paraId="0EC2E525" w14:textId="77777777" w:rsidR="00B633FC" w:rsidRPr="00C7692A" w:rsidRDefault="00B633FC" w:rsidP="009F002F">
      <w:pPr>
        <w:pStyle w:val="ListParagraph"/>
        <w:numPr>
          <w:ilvl w:val="0"/>
          <w:numId w:val="4"/>
        </w:numPr>
        <w:spacing w:line="248" w:lineRule="auto"/>
        <w:ind w:right="14"/>
        <w:jc w:val="both"/>
        <w:rPr>
          <w:rFonts w:cs="Times New Roman"/>
          <w:szCs w:val="24"/>
        </w:rPr>
      </w:pPr>
      <w:r w:rsidRPr="00C7692A">
        <w:rPr>
          <w:rFonts w:cs="Times New Roman"/>
          <w:szCs w:val="24"/>
        </w:rPr>
        <w:t>Vlastiti prihodi</w:t>
      </w:r>
    </w:p>
    <w:p w14:paraId="65DD6906" w14:textId="77777777" w:rsidR="00B633FC" w:rsidRPr="00C7692A" w:rsidRDefault="00B633FC" w:rsidP="009F002F">
      <w:pPr>
        <w:pStyle w:val="ListParagraph"/>
        <w:numPr>
          <w:ilvl w:val="0"/>
          <w:numId w:val="4"/>
        </w:numPr>
        <w:spacing w:line="248" w:lineRule="auto"/>
        <w:ind w:right="14"/>
        <w:jc w:val="both"/>
        <w:rPr>
          <w:rFonts w:cs="Times New Roman"/>
          <w:szCs w:val="24"/>
        </w:rPr>
      </w:pPr>
      <w:r w:rsidRPr="00C7692A">
        <w:rPr>
          <w:rFonts w:cs="Times New Roman"/>
          <w:szCs w:val="24"/>
        </w:rPr>
        <w:t>Prihodi za posebne namjene</w:t>
      </w:r>
    </w:p>
    <w:p w14:paraId="7A12E7F0" w14:textId="77777777" w:rsidR="00B633FC" w:rsidRPr="00C7692A" w:rsidRDefault="00B633FC" w:rsidP="009F002F">
      <w:pPr>
        <w:pStyle w:val="ListParagraph"/>
        <w:numPr>
          <w:ilvl w:val="0"/>
          <w:numId w:val="4"/>
        </w:numPr>
        <w:spacing w:line="248" w:lineRule="auto"/>
        <w:ind w:right="14"/>
        <w:jc w:val="both"/>
        <w:rPr>
          <w:rFonts w:cs="Times New Roman"/>
          <w:szCs w:val="24"/>
        </w:rPr>
      </w:pPr>
      <w:r w:rsidRPr="00C7692A">
        <w:rPr>
          <w:rFonts w:cs="Times New Roman"/>
          <w:szCs w:val="24"/>
        </w:rPr>
        <w:t>Pomoći</w:t>
      </w:r>
    </w:p>
    <w:p w14:paraId="4258DD72" w14:textId="77777777" w:rsidR="00DA4CF1" w:rsidRPr="00C7692A" w:rsidRDefault="00B633FC" w:rsidP="009F002F">
      <w:pPr>
        <w:pStyle w:val="ListParagraph"/>
        <w:numPr>
          <w:ilvl w:val="0"/>
          <w:numId w:val="4"/>
        </w:numPr>
        <w:spacing w:line="248" w:lineRule="auto"/>
        <w:ind w:right="14"/>
        <w:jc w:val="both"/>
        <w:rPr>
          <w:rFonts w:cs="Times New Roman"/>
          <w:szCs w:val="24"/>
        </w:rPr>
      </w:pPr>
      <w:r w:rsidRPr="00C7692A">
        <w:rPr>
          <w:rFonts w:cs="Times New Roman"/>
          <w:szCs w:val="24"/>
        </w:rPr>
        <w:t>Donacije</w:t>
      </w:r>
    </w:p>
    <w:p w14:paraId="6634309C" w14:textId="77777777" w:rsidR="00955BA8" w:rsidRPr="00C7692A" w:rsidRDefault="00955BA8" w:rsidP="00955BA8">
      <w:pPr>
        <w:spacing w:after="0" w:line="248" w:lineRule="auto"/>
        <w:ind w:left="772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B39B479" w14:textId="77777777" w:rsidR="000D20C9" w:rsidRPr="00C7692A" w:rsidRDefault="00B633FC" w:rsidP="003A476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C7692A">
        <w:rPr>
          <w:rFonts w:ascii="Times New Roman" w:hAnsi="Times New Roman" w:cs="Times New Roman"/>
          <w:b/>
          <w:sz w:val="24"/>
          <w:szCs w:val="24"/>
        </w:rPr>
        <w:t>Opće</w:t>
      </w:r>
      <w:proofErr w:type="spellEnd"/>
      <w:r w:rsidRPr="00C76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92A">
        <w:rPr>
          <w:rFonts w:ascii="Times New Roman" w:hAnsi="Times New Roman" w:cs="Times New Roman"/>
          <w:b/>
          <w:sz w:val="24"/>
          <w:szCs w:val="24"/>
        </w:rPr>
        <w:t>prihode</w:t>
      </w:r>
      <w:proofErr w:type="spellEnd"/>
      <w:r w:rsidRPr="00C76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92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C769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92A">
        <w:rPr>
          <w:rFonts w:ascii="Times New Roman" w:hAnsi="Times New Roman" w:cs="Times New Roman"/>
          <w:b/>
          <w:sz w:val="24"/>
          <w:szCs w:val="24"/>
        </w:rPr>
        <w:t>primitke</w:t>
      </w:r>
      <w:proofErr w:type="spellEnd"/>
      <w:r w:rsidRPr="00C7692A">
        <w:rPr>
          <w:rFonts w:ascii="Times New Roman" w:hAnsi="Times New Roman" w:cs="Times New Roman"/>
          <w:sz w:val="24"/>
          <w:szCs w:val="24"/>
        </w:rPr>
        <w:t xml:space="preserve"> čine prihodi iz državnog proračuna za financiranje redovne djelatnosti - skupina 671.</w:t>
      </w:r>
      <w:r w:rsidR="0020237C" w:rsidRPr="00C76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D840F" w14:textId="4C759C65" w:rsidR="000D20C9" w:rsidRPr="00C7692A" w:rsidRDefault="000D20C9" w:rsidP="000D20C9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Iz izvora </w:t>
      </w:r>
      <w:r w:rsidR="00662506" w:rsidRPr="00C7692A">
        <w:rPr>
          <w:rFonts w:ascii="Times New Roman" w:hAnsi="Times New Roman" w:cs="Times New Roman"/>
          <w:b/>
          <w:sz w:val="24"/>
          <w:szCs w:val="24"/>
        </w:rPr>
        <w:t>11</w:t>
      </w:r>
      <w:r w:rsidRPr="00C7692A">
        <w:rPr>
          <w:rFonts w:ascii="Times New Roman" w:hAnsi="Times New Roman" w:cs="Times New Roman"/>
          <w:sz w:val="24"/>
          <w:szCs w:val="24"/>
        </w:rPr>
        <w:t xml:space="preserve"> se u razdoblju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godin</w:t>
      </w:r>
      <w:r w:rsidR="00BB705E" w:rsidRPr="00C7692A">
        <w:rPr>
          <w:rFonts w:ascii="Times New Roman" w:hAnsi="Times New Roman" w:cs="Times New Roman"/>
          <w:sz w:val="24"/>
          <w:szCs w:val="24"/>
        </w:rPr>
        <w:t>e</w:t>
      </w:r>
      <w:r w:rsidRPr="00C7692A">
        <w:rPr>
          <w:rFonts w:ascii="Times New Roman" w:hAnsi="Times New Roman" w:cs="Times New Roman"/>
          <w:sz w:val="24"/>
          <w:szCs w:val="24"/>
        </w:rPr>
        <w:t xml:space="preserve"> planiraju ostvariti sljedeći iznosi u EUR:</w:t>
      </w:r>
    </w:p>
    <w:p w14:paraId="3A502843" w14:textId="77777777" w:rsidR="000D20C9" w:rsidRPr="00C7692A" w:rsidRDefault="000D20C9" w:rsidP="003A476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0" w:type="dxa"/>
        <w:tblLook w:val="04A0" w:firstRow="1" w:lastRow="0" w:firstColumn="1" w:lastColumn="0" w:noHBand="0" w:noVBand="1"/>
      </w:tblPr>
      <w:tblGrid>
        <w:gridCol w:w="1720"/>
        <w:gridCol w:w="1780"/>
        <w:gridCol w:w="1720"/>
      </w:tblGrid>
      <w:tr w:rsidR="00C22891" w:rsidRPr="00C7692A" w14:paraId="04C31B28" w14:textId="77777777" w:rsidTr="000D20C9">
        <w:trPr>
          <w:trHeight w:val="300"/>
        </w:trPr>
        <w:tc>
          <w:tcPr>
            <w:tcW w:w="1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30257313" w14:textId="473FFC34" w:rsidR="00C22891" w:rsidRPr="00C7692A" w:rsidRDefault="00C22891" w:rsidP="00C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91BB8">
              <w:rPr>
                <w:rFonts w:ascii="Times New Roman" w:hAnsi="Times New Roman" w:cs="Times New Roman"/>
                <w:sz w:val="24"/>
                <w:szCs w:val="24"/>
              </w:rPr>
              <w:t>596.041</w:t>
            </w:r>
          </w:p>
        </w:tc>
        <w:tc>
          <w:tcPr>
            <w:tcW w:w="1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7BC667D" w14:textId="78EEA56E" w:rsidR="00C22891" w:rsidRPr="00C7692A" w:rsidRDefault="00C22891" w:rsidP="00C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91BB8">
              <w:rPr>
                <w:rFonts w:ascii="Times New Roman" w:hAnsi="Times New Roman" w:cs="Times New Roman"/>
                <w:sz w:val="24"/>
                <w:szCs w:val="24"/>
              </w:rPr>
              <w:t>548.336</w:t>
            </w:r>
          </w:p>
        </w:tc>
        <w:tc>
          <w:tcPr>
            <w:tcW w:w="17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B480F0" w14:textId="785B4EAA" w:rsidR="00C22891" w:rsidRPr="00C7692A" w:rsidRDefault="00C22891" w:rsidP="00C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7.580.</w:t>
            </w:r>
            <w:r w:rsidR="00F91BB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</w:tbl>
    <w:p w14:paraId="4BF58834" w14:textId="77777777" w:rsidR="000D20C9" w:rsidRPr="00C7692A" w:rsidRDefault="000D20C9" w:rsidP="003A476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57705FB" w14:textId="21F7E5BE" w:rsidR="003A476B" w:rsidRPr="00C7692A" w:rsidRDefault="000D20C9" w:rsidP="003A476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C7692A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32C" w:rsidRPr="00C7692A">
        <w:rPr>
          <w:rFonts w:ascii="Times New Roman" w:hAnsi="Times New Roman" w:cs="Times New Roman"/>
          <w:sz w:val="24"/>
          <w:szCs w:val="24"/>
        </w:rPr>
        <w:t>p</w:t>
      </w:r>
      <w:r w:rsidRPr="00C7692A">
        <w:rPr>
          <w:rFonts w:ascii="Times New Roman" w:hAnsi="Times New Roman" w:cs="Times New Roman"/>
          <w:sz w:val="24"/>
          <w:szCs w:val="24"/>
        </w:rPr>
        <w:t>rihoda</w:t>
      </w:r>
      <w:proofErr w:type="spellEnd"/>
      <w:r w:rsidRPr="00C769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A476B" w:rsidRPr="00C7692A">
        <w:rPr>
          <w:rFonts w:ascii="Times New Roman" w:hAnsi="Times New Roman" w:cs="Times New Roman"/>
          <w:sz w:val="24"/>
          <w:szCs w:val="24"/>
        </w:rPr>
        <w:t>temelj</w:t>
      </w:r>
      <w:r w:rsidRPr="00C769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A476B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6B" w:rsidRPr="00C7692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A476B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6B" w:rsidRPr="00C7692A">
        <w:rPr>
          <w:rFonts w:ascii="Times New Roman" w:hAnsi="Times New Roman" w:cs="Times New Roman"/>
          <w:sz w:val="24"/>
          <w:szCs w:val="24"/>
        </w:rPr>
        <w:t>limitima</w:t>
      </w:r>
      <w:proofErr w:type="spellEnd"/>
      <w:r w:rsidR="003A476B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6B" w:rsidRPr="00C7692A">
        <w:rPr>
          <w:rFonts w:ascii="Times New Roman" w:hAnsi="Times New Roman" w:cs="Times New Roman"/>
          <w:sz w:val="24"/>
          <w:szCs w:val="24"/>
        </w:rPr>
        <w:t>dostavljenim</w:t>
      </w:r>
      <w:r w:rsidRPr="00C769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A476B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6B" w:rsidRPr="00C7692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A476B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6B" w:rsidRPr="00C7692A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3A476B" w:rsidRPr="00C769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A476B" w:rsidRPr="00C7692A">
        <w:rPr>
          <w:rFonts w:ascii="Times New Roman" w:hAnsi="Times New Roman" w:cs="Times New Roman"/>
          <w:sz w:val="24"/>
          <w:szCs w:val="24"/>
        </w:rPr>
        <w:t>Splitu</w:t>
      </w:r>
      <w:proofErr w:type="spellEnd"/>
      <w:r w:rsidR="00662506" w:rsidRPr="00C7692A">
        <w:rPr>
          <w:rFonts w:ascii="Times New Roman" w:hAnsi="Times New Roman" w:cs="Times New Roman"/>
          <w:sz w:val="24"/>
          <w:szCs w:val="24"/>
        </w:rPr>
        <w:t xml:space="preserve">. </w:t>
      </w:r>
      <w:r w:rsidR="00600C7F" w:rsidRPr="00C7692A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="00600C7F" w:rsidRPr="00C7692A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600C7F" w:rsidRPr="00C769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00C7F" w:rsidRPr="00C7692A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600C7F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C7F" w:rsidRPr="00C7692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00C7F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redovnu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plaće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prijevozom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temeljno</w:t>
      </w:r>
      <w:proofErr w:type="spellEnd"/>
      <w:proofErr w:type="gram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financiranje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nastavne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C7692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temeljno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financiranje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znanstvene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0C67" w:rsidRPr="00C7692A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630C67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refundaciju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isplaćenih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pravomoćnim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sudskim</w:t>
      </w:r>
      <w:proofErr w:type="spellEnd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34B" w:rsidRPr="00C7692A">
        <w:rPr>
          <w:rFonts w:ascii="Times New Roman" w:hAnsi="Times New Roman" w:cs="Times New Roman"/>
          <w:color w:val="000000"/>
          <w:sz w:val="24"/>
          <w:szCs w:val="24"/>
        </w:rPr>
        <w:t>presudama</w:t>
      </w:r>
      <w:proofErr w:type="spellEnd"/>
      <w:r w:rsidR="00630C67" w:rsidRPr="00C769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AD7F59" w14:textId="77777777" w:rsidR="00BC2554" w:rsidRPr="00C7692A" w:rsidRDefault="00BC2554" w:rsidP="003A476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B6F45" w14:textId="77777777" w:rsidR="000D20C9" w:rsidRPr="00C7692A" w:rsidRDefault="00B633FC" w:rsidP="008524C5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31 Vlastite prihode</w:t>
      </w:r>
      <w:r w:rsidRPr="00C7692A">
        <w:rPr>
          <w:rFonts w:ascii="Times New Roman" w:hAnsi="Times New Roman" w:cs="Times New Roman"/>
          <w:sz w:val="24"/>
          <w:szCs w:val="24"/>
        </w:rPr>
        <w:t xml:space="preserve">, skupina 661, čine prihodi ostvareni obavljanjem poslova na tržištu i u tržišnim uvjetima, (tečajevi trajne medicinske izobrazbe, dijagnostički postupci, izbori u znanstveno - nastavna zvanja, sudska medicinska vještačenja, konzultantske usluge te </w:t>
      </w:r>
    </w:p>
    <w:p w14:paraId="72E8804E" w14:textId="77777777" w:rsidR="000D20C9" w:rsidRPr="00C7692A" w:rsidRDefault="00B633FC" w:rsidP="008524C5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iznajmljivanje prostora).</w:t>
      </w:r>
      <w:r w:rsidR="00BC2554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81432C" w:rsidRPr="00C7692A">
        <w:rPr>
          <w:rFonts w:ascii="Times New Roman" w:hAnsi="Times New Roman" w:cs="Times New Roman"/>
          <w:sz w:val="24"/>
          <w:szCs w:val="24"/>
        </w:rPr>
        <w:t>Ovdje su uključeni i vlastiti projekti za tržište.</w:t>
      </w:r>
    </w:p>
    <w:p w14:paraId="5C8F3329" w14:textId="4CF2A4A0" w:rsidR="000D20C9" w:rsidRDefault="000D20C9" w:rsidP="000D20C9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Iz izvora </w:t>
      </w:r>
      <w:r w:rsidRPr="00C7692A">
        <w:rPr>
          <w:rFonts w:ascii="Times New Roman" w:hAnsi="Times New Roman" w:cs="Times New Roman"/>
          <w:b/>
          <w:sz w:val="24"/>
          <w:szCs w:val="24"/>
        </w:rPr>
        <w:t>31</w:t>
      </w:r>
      <w:r w:rsidRPr="00C7692A">
        <w:rPr>
          <w:rFonts w:ascii="Times New Roman" w:hAnsi="Times New Roman" w:cs="Times New Roman"/>
          <w:sz w:val="24"/>
          <w:szCs w:val="24"/>
        </w:rPr>
        <w:t xml:space="preserve"> se u razdoblju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godin</w:t>
      </w:r>
      <w:r w:rsidR="00BB705E" w:rsidRPr="00C7692A">
        <w:rPr>
          <w:rFonts w:ascii="Times New Roman" w:hAnsi="Times New Roman" w:cs="Times New Roman"/>
          <w:sz w:val="24"/>
          <w:szCs w:val="24"/>
        </w:rPr>
        <w:t>e</w:t>
      </w:r>
      <w:r w:rsidRPr="00C7692A">
        <w:rPr>
          <w:rFonts w:ascii="Times New Roman" w:hAnsi="Times New Roman" w:cs="Times New Roman"/>
          <w:sz w:val="24"/>
          <w:szCs w:val="24"/>
        </w:rPr>
        <w:t xml:space="preserve"> planiraju ostvariti sljedeći iznosi u EUR:</w:t>
      </w:r>
    </w:p>
    <w:p w14:paraId="13A27288" w14:textId="77777777" w:rsidR="00956A0B" w:rsidRPr="00C7692A" w:rsidRDefault="00956A0B" w:rsidP="000D20C9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0" w:type="dxa"/>
        <w:tblLook w:val="04A0" w:firstRow="1" w:lastRow="0" w:firstColumn="1" w:lastColumn="0" w:noHBand="0" w:noVBand="1"/>
      </w:tblPr>
      <w:tblGrid>
        <w:gridCol w:w="1720"/>
        <w:gridCol w:w="1780"/>
        <w:gridCol w:w="1720"/>
      </w:tblGrid>
      <w:tr w:rsidR="001440CC" w:rsidRPr="00C7692A" w14:paraId="029E476D" w14:textId="77777777" w:rsidTr="000D20C9">
        <w:trPr>
          <w:trHeight w:val="300"/>
        </w:trPr>
        <w:tc>
          <w:tcPr>
            <w:tcW w:w="1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CAA8B6D" w14:textId="1D055A5A" w:rsidR="001440CC" w:rsidRPr="00C7692A" w:rsidRDefault="001440CC" w:rsidP="0014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  <w:r w:rsidR="007C33EF" w:rsidRPr="00C7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35B3C524" w14:textId="3CF73A25" w:rsidR="001440CC" w:rsidRPr="00C7692A" w:rsidRDefault="001440CC" w:rsidP="0014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  <w:r w:rsidR="007C33EF" w:rsidRPr="00C7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C9EC953" w14:textId="52DE776B" w:rsidR="001440CC" w:rsidRPr="00C7692A" w:rsidRDefault="001440CC" w:rsidP="0014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  <w:r w:rsidR="007C33EF" w:rsidRPr="00C7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0836915A" w14:textId="77777777" w:rsidR="007C33EF" w:rsidRPr="00C7692A" w:rsidRDefault="007C33EF" w:rsidP="000B134B">
      <w:pPr>
        <w:spacing w:after="0"/>
        <w:ind w:left="38" w:right="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C515A" w14:textId="1191249F" w:rsidR="00B633FC" w:rsidRPr="00C7692A" w:rsidRDefault="00B633FC" w:rsidP="000B134B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43 Ostali prihodi za posebne namjene</w:t>
      </w:r>
      <w:r w:rsidRPr="00C7692A">
        <w:rPr>
          <w:rFonts w:ascii="Times New Roman" w:hAnsi="Times New Roman" w:cs="Times New Roman"/>
          <w:sz w:val="24"/>
          <w:szCs w:val="24"/>
        </w:rPr>
        <w:t>, skupina 652, odnose se na prihode od školarina, upisnina i sl.</w:t>
      </w:r>
      <w:r w:rsidR="002C75E1" w:rsidRPr="00C7692A">
        <w:rPr>
          <w:rFonts w:ascii="Times New Roman" w:hAnsi="Times New Roman" w:cs="Times New Roman"/>
          <w:sz w:val="24"/>
          <w:szCs w:val="24"/>
        </w:rPr>
        <w:t xml:space="preserve"> Iz ovog izvora se u razdoblju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="002C75E1"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="002C75E1" w:rsidRPr="00C7692A">
        <w:rPr>
          <w:rFonts w:ascii="Times New Roman" w:hAnsi="Times New Roman" w:cs="Times New Roman"/>
          <w:sz w:val="24"/>
          <w:szCs w:val="24"/>
        </w:rPr>
        <w:t>. god</w:t>
      </w:r>
      <w:r w:rsidR="000465B7" w:rsidRPr="00C7692A">
        <w:rPr>
          <w:rFonts w:ascii="Times New Roman" w:hAnsi="Times New Roman" w:cs="Times New Roman"/>
          <w:sz w:val="24"/>
          <w:szCs w:val="24"/>
        </w:rPr>
        <w:t>i</w:t>
      </w:r>
      <w:r w:rsidR="002C75E1" w:rsidRPr="00C7692A">
        <w:rPr>
          <w:rFonts w:ascii="Times New Roman" w:hAnsi="Times New Roman" w:cs="Times New Roman"/>
          <w:sz w:val="24"/>
          <w:szCs w:val="24"/>
        </w:rPr>
        <w:t>n</w:t>
      </w:r>
      <w:r w:rsidR="00BB705E" w:rsidRPr="00C7692A">
        <w:rPr>
          <w:rFonts w:ascii="Times New Roman" w:hAnsi="Times New Roman" w:cs="Times New Roman"/>
          <w:sz w:val="24"/>
          <w:szCs w:val="24"/>
        </w:rPr>
        <w:t>e</w:t>
      </w:r>
      <w:r w:rsidR="002C75E1" w:rsidRPr="00C7692A">
        <w:rPr>
          <w:rFonts w:ascii="Times New Roman" w:hAnsi="Times New Roman" w:cs="Times New Roman"/>
          <w:sz w:val="24"/>
          <w:szCs w:val="24"/>
        </w:rPr>
        <w:t xml:space="preserve"> planiraju ostvariti sljedeći iznosi u EUR:</w:t>
      </w:r>
    </w:p>
    <w:tbl>
      <w:tblPr>
        <w:tblW w:w="5220" w:type="dxa"/>
        <w:tblLook w:val="04A0" w:firstRow="1" w:lastRow="0" w:firstColumn="1" w:lastColumn="0" w:noHBand="0" w:noVBand="1"/>
      </w:tblPr>
      <w:tblGrid>
        <w:gridCol w:w="1720"/>
        <w:gridCol w:w="1780"/>
        <w:gridCol w:w="1720"/>
      </w:tblGrid>
      <w:tr w:rsidR="007C33EF" w:rsidRPr="00C7692A" w14:paraId="221F50FA" w14:textId="77777777" w:rsidTr="002C75E1">
        <w:trPr>
          <w:trHeight w:val="300"/>
        </w:trPr>
        <w:tc>
          <w:tcPr>
            <w:tcW w:w="1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4739A913" w14:textId="0B1D23B9" w:rsidR="007C33EF" w:rsidRPr="00C7692A" w:rsidRDefault="007C33EF" w:rsidP="007C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4.200.000</w:t>
            </w:r>
          </w:p>
        </w:tc>
        <w:tc>
          <w:tcPr>
            <w:tcW w:w="1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A18221F" w14:textId="50681B56" w:rsidR="007C33EF" w:rsidRPr="00C7692A" w:rsidRDefault="007C33EF" w:rsidP="007C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4.200.000</w:t>
            </w:r>
          </w:p>
        </w:tc>
        <w:tc>
          <w:tcPr>
            <w:tcW w:w="17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AE1C3BF" w14:textId="6726DEAE" w:rsidR="007C33EF" w:rsidRPr="00C7692A" w:rsidRDefault="007C33EF" w:rsidP="007C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4.200.000</w:t>
            </w:r>
          </w:p>
        </w:tc>
      </w:tr>
    </w:tbl>
    <w:p w14:paraId="0AAB7F53" w14:textId="34188553" w:rsidR="00D57ED6" w:rsidRPr="00C7692A" w:rsidRDefault="002C75E1" w:rsidP="002A1511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Najveći iznos se planira ostvariti od školarina studija Medicina na engleskom</w:t>
      </w:r>
      <w:r w:rsidR="0081432C" w:rsidRPr="00C7692A">
        <w:rPr>
          <w:rFonts w:ascii="Times New Roman" w:hAnsi="Times New Roman" w:cs="Times New Roman"/>
          <w:sz w:val="24"/>
          <w:szCs w:val="24"/>
        </w:rPr>
        <w:t xml:space="preserve"> jeziku</w:t>
      </w:r>
      <w:r w:rsidRPr="00C7692A">
        <w:rPr>
          <w:rFonts w:ascii="Times New Roman" w:hAnsi="Times New Roman" w:cs="Times New Roman"/>
          <w:sz w:val="24"/>
          <w:szCs w:val="24"/>
        </w:rPr>
        <w:t xml:space="preserve"> (</w:t>
      </w:r>
      <w:r w:rsidR="00DF01B9" w:rsidRPr="00C7692A">
        <w:rPr>
          <w:rFonts w:ascii="Times New Roman" w:hAnsi="Times New Roman" w:cs="Times New Roman"/>
          <w:sz w:val="24"/>
          <w:szCs w:val="24"/>
        </w:rPr>
        <w:t>3.</w:t>
      </w:r>
      <w:r w:rsidR="00294C39" w:rsidRPr="00C7692A">
        <w:rPr>
          <w:rFonts w:ascii="Times New Roman" w:hAnsi="Times New Roman" w:cs="Times New Roman"/>
          <w:sz w:val="24"/>
          <w:szCs w:val="24"/>
        </w:rPr>
        <w:t>6</w:t>
      </w:r>
      <w:r w:rsidR="00DF01B9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1B9" w:rsidRPr="00C7692A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AC17FA" w:rsidRPr="00C7692A">
        <w:rPr>
          <w:rFonts w:ascii="Times New Roman" w:hAnsi="Times New Roman" w:cs="Times New Roman"/>
          <w:sz w:val="24"/>
          <w:szCs w:val="24"/>
        </w:rPr>
        <w:t>.</w:t>
      </w:r>
      <w:r w:rsidRPr="00C7692A">
        <w:rPr>
          <w:rFonts w:ascii="Times New Roman" w:hAnsi="Times New Roman" w:cs="Times New Roman"/>
          <w:sz w:val="24"/>
          <w:szCs w:val="24"/>
        </w:rPr>
        <w:t xml:space="preserve"> EUR</w:t>
      </w:r>
      <w:r w:rsidR="00DF01B9" w:rsidRPr="00C7692A">
        <w:rPr>
          <w:rFonts w:ascii="Times New Roman" w:hAnsi="Times New Roman" w:cs="Times New Roman"/>
          <w:sz w:val="24"/>
          <w:szCs w:val="24"/>
        </w:rPr>
        <w:t xml:space="preserve"> u 202</w:t>
      </w:r>
      <w:r w:rsidR="003A4707" w:rsidRPr="00C7692A">
        <w:rPr>
          <w:rFonts w:ascii="Times New Roman" w:hAnsi="Times New Roman" w:cs="Times New Roman"/>
          <w:sz w:val="24"/>
          <w:szCs w:val="24"/>
        </w:rPr>
        <w:t>5</w:t>
      </w:r>
      <w:r w:rsidR="00DF01B9" w:rsidRPr="00C7692A">
        <w:rPr>
          <w:rFonts w:ascii="Times New Roman" w:hAnsi="Times New Roman" w:cs="Times New Roman"/>
          <w:sz w:val="24"/>
          <w:szCs w:val="24"/>
        </w:rPr>
        <w:t>. godini</w:t>
      </w:r>
      <w:r w:rsidRPr="00C7692A">
        <w:rPr>
          <w:rFonts w:ascii="Times New Roman" w:hAnsi="Times New Roman" w:cs="Times New Roman"/>
          <w:sz w:val="24"/>
          <w:szCs w:val="24"/>
        </w:rPr>
        <w:t>).</w:t>
      </w:r>
      <w:r w:rsidR="00C859FA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 xml:space="preserve">Ostalo se odnosi na prihode od poslijediplomskih </w:t>
      </w:r>
      <w:r w:rsidR="003A4707" w:rsidRPr="00C7692A">
        <w:rPr>
          <w:rFonts w:ascii="Times New Roman" w:hAnsi="Times New Roman" w:cs="Times New Roman"/>
          <w:sz w:val="24"/>
          <w:szCs w:val="24"/>
        </w:rPr>
        <w:t xml:space="preserve">doktorskih </w:t>
      </w:r>
      <w:r w:rsidRPr="00C7692A">
        <w:rPr>
          <w:rFonts w:ascii="Times New Roman" w:hAnsi="Times New Roman" w:cs="Times New Roman"/>
          <w:sz w:val="24"/>
          <w:szCs w:val="24"/>
        </w:rPr>
        <w:t>studija (</w:t>
      </w:r>
      <w:r w:rsidR="003A4707" w:rsidRPr="00C7692A">
        <w:rPr>
          <w:rFonts w:ascii="Times New Roman" w:hAnsi="Times New Roman" w:cs="Times New Roman"/>
          <w:sz w:val="24"/>
          <w:szCs w:val="24"/>
        </w:rPr>
        <w:t>313</w:t>
      </w:r>
      <w:r w:rsidR="00D57ED6" w:rsidRPr="00C7692A">
        <w:rPr>
          <w:rFonts w:ascii="Times New Roman" w:hAnsi="Times New Roman" w:cs="Times New Roman"/>
          <w:sz w:val="24"/>
          <w:szCs w:val="24"/>
        </w:rPr>
        <w:t xml:space="preserve"> tis</w:t>
      </w:r>
      <w:r w:rsidR="00BB705E" w:rsidRPr="00C7692A">
        <w:rPr>
          <w:rFonts w:ascii="Times New Roman" w:hAnsi="Times New Roman" w:cs="Times New Roman"/>
          <w:sz w:val="24"/>
          <w:szCs w:val="24"/>
        </w:rPr>
        <w:t>.</w:t>
      </w:r>
      <w:r w:rsidRPr="00C7692A">
        <w:rPr>
          <w:rFonts w:ascii="Times New Roman" w:hAnsi="Times New Roman" w:cs="Times New Roman"/>
          <w:sz w:val="24"/>
          <w:szCs w:val="24"/>
        </w:rPr>
        <w:t xml:space="preserve"> EUR)</w:t>
      </w:r>
      <w:r w:rsidR="003A4707" w:rsidRPr="00C7692A">
        <w:rPr>
          <w:rFonts w:ascii="Times New Roman" w:hAnsi="Times New Roman" w:cs="Times New Roman"/>
          <w:sz w:val="24"/>
          <w:szCs w:val="24"/>
        </w:rPr>
        <w:t>, prihode od specijalističkih poslijediplomskih studija (81 tis. EUR)</w:t>
      </w:r>
      <w:r w:rsidRPr="00C7692A">
        <w:rPr>
          <w:rFonts w:ascii="Times New Roman" w:hAnsi="Times New Roman" w:cs="Times New Roman"/>
          <w:sz w:val="24"/>
          <w:szCs w:val="24"/>
        </w:rPr>
        <w:t xml:space="preserve"> te na prihode od školarina od diplomskih studija Medicine, </w:t>
      </w:r>
      <w:r w:rsidR="00D57ED6" w:rsidRPr="00C7692A">
        <w:rPr>
          <w:rFonts w:ascii="Times New Roman" w:hAnsi="Times New Roman" w:cs="Times New Roman"/>
          <w:sz w:val="24"/>
          <w:szCs w:val="24"/>
        </w:rPr>
        <w:t>D</w:t>
      </w:r>
      <w:r w:rsidRPr="00C7692A">
        <w:rPr>
          <w:rFonts w:ascii="Times New Roman" w:hAnsi="Times New Roman" w:cs="Times New Roman"/>
          <w:sz w:val="24"/>
          <w:szCs w:val="24"/>
        </w:rPr>
        <w:t>entalne medicine i Farmacije (</w:t>
      </w:r>
      <w:r w:rsidR="003A4707" w:rsidRPr="00C7692A">
        <w:rPr>
          <w:rFonts w:ascii="Times New Roman" w:hAnsi="Times New Roman" w:cs="Times New Roman"/>
          <w:sz w:val="24"/>
          <w:szCs w:val="24"/>
        </w:rPr>
        <w:t>84</w:t>
      </w:r>
      <w:r w:rsidRPr="00C7692A">
        <w:rPr>
          <w:rFonts w:ascii="Times New Roman" w:hAnsi="Times New Roman" w:cs="Times New Roman"/>
          <w:sz w:val="24"/>
          <w:szCs w:val="24"/>
        </w:rPr>
        <w:t xml:space="preserve"> tis</w:t>
      </w:r>
      <w:r w:rsidR="00AC17FA" w:rsidRPr="00C7692A">
        <w:rPr>
          <w:rFonts w:ascii="Times New Roman" w:hAnsi="Times New Roman" w:cs="Times New Roman"/>
          <w:sz w:val="24"/>
          <w:szCs w:val="24"/>
        </w:rPr>
        <w:t>.</w:t>
      </w:r>
      <w:r w:rsidRPr="00C7692A">
        <w:rPr>
          <w:rFonts w:ascii="Times New Roman" w:hAnsi="Times New Roman" w:cs="Times New Roman"/>
          <w:sz w:val="24"/>
          <w:szCs w:val="24"/>
        </w:rPr>
        <w:t xml:space="preserve"> EUR)</w:t>
      </w:r>
      <w:r w:rsidR="00D57ED6" w:rsidRPr="00C7692A">
        <w:rPr>
          <w:rFonts w:ascii="Times New Roman" w:hAnsi="Times New Roman" w:cs="Times New Roman"/>
          <w:sz w:val="24"/>
          <w:szCs w:val="24"/>
        </w:rPr>
        <w:t>.</w:t>
      </w:r>
      <w:r w:rsidR="002A1511" w:rsidRPr="00C7692A">
        <w:rPr>
          <w:rFonts w:ascii="Times New Roman" w:hAnsi="Times New Roman" w:cs="Times New Roman"/>
          <w:sz w:val="24"/>
          <w:szCs w:val="24"/>
        </w:rPr>
        <w:t xml:space="preserve"> Navedeni prihodi </w:t>
      </w:r>
      <w:r w:rsidR="003A4707" w:rsidRPr="00C7692A">
        <w:rPr>
          <w:rFonts w:ascii="Times New Roman" w:hAnsi="Times New Roman" w:cs="Times New Roman"/>
          <w:sz w:val="24"/>
          <w:szCs w:val="24"/>
        </w:rPr>
        <w:t>će</w:t>
      </w:r>
      <w:r w:rsidR="0065105C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3A4707" w:rsidRPr="00C7692A">
        <w:rPr>
          <w:rFonts w:ascii="Times New Roman" w:hAnsi="Times New Roman" w:cs="Times New Roman"/>
          <w:sz w:val="24"/>
          <w:szCs w:val="24"/>
        </w:rPr>
        <w:t xml:space="preserve">biti </w:t>
      </w:r>
      <w:r w:rsidR="002A1511" w:rsidRPr="00C7692A">
        <w:rPr>
          <w:rFonts w:ascii="Times New Roman" w:hAnsi="Times New Roman" w:cs="Times New Roman"/>
          <w:sz w:val="24"/>
          <w:szCs w:val="24"/>
        </w:rPr>
        <w:t>umanjeni za očekivane isplate prema Sveučilištu (15% od naplaćenih školarina diplomskih studija; navedeno se plaća tranšama u dogovoru sa Sveučilištem prema financijskim mogućnostima fakulteta</w:t>
      </w:r>
      <w:r w:rsidR="0065105C" w:rsidRPr="00C7692A">
        <w:rPr>
          <w:rFonts w:ascii="Times New Roman" w:hAnsi="Times New Roman" w:cs="Times New Roman"/>
          <w:sz w:val="24"/>
          <w:szCs w:val="24"/>
        </w:rPr>
        <w:t xml:space="preserve"> te trenutno ne raspolažemo planom očekivane dinamike isplata</w:t>
      </w:r>
      <w:r w:rsidR="002A1511" w:rsidRPr="00C7692A">
        <w:rPr>
          <w:rFonts w:ascii="Times New Roman" w:hAnsi="Times New Roman" w:cs="Times New Roman"/>
          <w:sz w:val="24"/>
          <w:szCs w:val="24"/>
        </w:rPr>
        <w:t xml:space="preserve">). </w:t>
      </w:r>
      <w:r w:rsidR="00D57ED6" w:rsidRPr="00C7692A">
        <w:rPr>
          <w:rFonts w:ascii="Times New Roman" w:hAnsi="Times New Roman" w:cs="Times New Roman"/>
          <w:sz w:val="24"/>
          <w:szCs w:val="24"/>
        </w:rPr>
        <w:t xml:space="preserve">Ostatak </w:t>
      </w:r>
      <w:r w:rsidR="002A1511" w:rsidRPr="00C7692A">
        <w:rPr>
          <w:rFonts w:ascii="Times New Roman" w:hAnsi="Times New Roman" w:cs="Times New Roman"/>
          <w:sz w:val="24"/>
          <w:szCs w:val="24"/>
        </w:rPr>
        <w:t xml:space="preserve">prihoda </w:t>
      </w:r>
      <w:r w:rsidR="00D57ED6" w:rsidRPr="00C7692A">
        <w:rPr>
          <w:rFonts w:ascii="Times New Roman" w:hAnsi="Times New Roman" w:cs="Times New Roman"/>
          <w:sz w:val="24"/>
          <w:szCs w:val="24"/>
        </w:rPr>
        <w:t>se odnosi na upisnin</w:t>
      </w:r>
      <w:r w:rsidR="0065105C" w:rsidRPr="00C7692A">
        <w:rPr>
          <w:rFonts w:ascii="Times New Roman" w:hAnsi="Times New Roman" w:cs="Times New Roman"/>
          <w:sz w:val="24"/>
          <w:szCs w:val="24"/>
        </w:rPr>
        <w:t>a</w:t>
      </w:r>
      <w:r w:rsidR="00D57ED6" w:rsidRPr="00C7692A">
        <w:rPr>
          <w:rFonts w:ascii="Times New Roman" w:hAnsi="Times New Roman" w:cs="Times New Roman"/>
          <w:sz w:val="24"/>
          <w:szCs w:val="24"/>
        </w:rPr>
        <w:t>.</w:t>
      </w:r>
    </w:p>
    <w:p w14:paraId="70403EC2" w14:textId="77777777" w:rsidR="000465B7" w:rsidRPr="00C7692A" w:rsidRDefault="000465B7" w:rsidP="000B134B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6BB48DBD" w14:textId="77777777" w:rsidR="00B633FC" w:rsidRPr="00C7692A" w:rsidRDefault="00B633FC" w:rsidP="000B134B">
      <w:pPr>
        <w:spacing w:after="0"/>
        <w:ind w:left="47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5 Pomoći</w:t>
      </w:r>
      <w:r w:rsidRPr="00C7692A">
        <w:rPr>
          <w:rFonts w:ascii="Times New Roman" w:hAnsi="Times New Roman" w:cs="Times New Roman"/>
          <w:sz w:val="24"/>
          <w:szCs w:val="24"/>
        </w:rPr>
        <w:t xml:space="preserve"> čine sredstva iz Europskog fonda za regionalni razvoj, sredstva Europske unije za istraživanje i inovacije, sredstva ESF-a, sredstva Hrvatske zaklade za znanost, sredstva Grada Splita za poticanje znanstvene izvrsnosti,  pomoći MZO-a i Županije.</w:t>
      </w:r>
    </w:p>
    <w:p w14:paraId="08AE6FD8" w14:textId="77777777" w:rsidR="00BC3C35" w:rsidRPr="00C7692A" w:rsidRDefault="00BC3C35" w:rsidP="000B134B">
      <w:pPr>
        <w:spacing w:after="0"/>
        <w:ind w:left="4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27055F67" w14:textId="54CE1979" w:rsidR="000465B7" w:rsidRPr="00C7692A" w:rsidRDefault="000465B7" w:rsidP="000B134B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Iz izvora </w:t>
      </w:r>
      <w:r w:rsidRPr="00C7692A">
        <w:rPr>
          <w:rFonts w:ascii="Times New Roman" w:hAnsi="Times New Roman" w:cs="Times New Roman"/>
          <w:b/>
          <w:sz w:val="24"/>
          <w:szCs w:val="24"/>
        </w:rPr>
        <w:t>51</w:t>
      </w:r>
      <w:r w:rsidRPr="00C7692A">
        <w:rPr>
          <w:rFonts w:ascii="Times New Roman" w:hAnsi="Times New Roman" w:cs="Times New Roman"/>
          <w:sz w:val="24"/>
          <w:szCs w:val="24"/>
        </w:rPr>
        <w:t xml:space="preserve"> se u razdoblju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godin</w:t>
      </w:r>
      <w:r w:rsidR="00BB705E" w:rsidRPr="00C7692A">
        <w:rPr>
          <w:rFonts w:ascii="Times New Roman" w:hAnsi="Times New Roman" w:cs="Times New Roman"/>
          <w:sz w:val="24"/>
          <w:szCs w:val="24"/>
        </w:rPr>
        <w:t>e</w:t>
      </w:r>
      <w:r w:rsidRPr="00C7692A">
        <w:rPr>
          <w:rFonts w:ascii="Times New Roman" w:hAnsi="Times New Roman" w:cs="Times New Roman"/>
          <w:sz w:val="24"/>
          <w:szCs w:val="24"/>
        </w:rPr>
        <w:t xml:space="preserve"> planiraju ostvariti sljedeći iznosi u EUR:</w:t>
      </w:r>
    </w:p>
    <w:p w14:paraId="1429B329" w14:textId="77777777" w:rsidR="000465B7" w:rsidRPr="00C7692A" w:rsidRDefault="000465B7" w:rsidP="000B134B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0" w:type="dxa"/>
        <w:tblLook w:val="04A0" w:firstRow="1" w:lastRow="0" w:firstColumn="1" w:lastColumn="0" w:noHBand="0" w:noVBand="1"/>
      </w:tblPr>
      <w:tblGrid>
        <w:gridCol w:w="1720"/>
        <w:gridCol w:w="1780"/>
        <w:gridCol w:w="1720"/>
      </w:tblGrid>
      <w:tr w:rsidR="00EA5FA6" w:rsidRPr="00C7692A" w14:paraId="1468C9F8" w14:textId="77777777" w:rsidTr="000465B7">
        <w:trPr>
          <w:trHeight w:val="300"/>
        </w:trPr>
        <w:tc>
          <w:tcPr>
            <w:tcW w:w="1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ECADCFA" w14:textId="0C8EF5B1" w:rsidR="00EA5FA6" w:rsidRPr="00C7692A" w:rsidRDefault="00EA5FA6" w:rsidP="00E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5.012.603</w:t>
            </w:r>
          </w:p>
        </w:tc>
        <w:tc>
          <w:tcPr>
            <w:tcW w:w="1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78C1552" w14:textId="7F66DA49" w:rsidR="00EA5FA6" w:rsidRPr="00C7692A" w:rsidRDefault="00EA5FA6" w:rsidP="00E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2.932.015</w:t>
            </w:r>
          </w:p>
        </w:tc>
        <w:tc>
          <w:tcPr>
            <w:tcW w:w="17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41AD4F7" w14:textId="1D2DE4F5" w:rsidR="00EA5FA6" w:rsidRPr="00C7692A" w:rsidRDefault="00EA5FA6" w:rsidP="00E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1.151.741</w:t>
            </w:r>
          </w:p>
        </w:tc>
      </w:tr>
    </w:tbl>
    <w:p w14:paraId="12B00FED" w14:textId="3A810AAE" w:rsidR="00F568D6" w:rsidRPr="00C7692A" w:rsidRDefault="000465B7" w:rsidP="00F5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Planirana sredstva se odnose na prihode od EU projekata:</w:t>
      </w:r>
      <w:r w:rsidR="00130ADB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DB" w:rsidRPr="00C7692A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="00130ADB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DB" w:rsidRPr="00C7692A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="00130ADB" w:rsidRPr="00C7692A">
        <w:rPr>
          <w:rFonts w:ascii="Times New Roman" w:hAnsi="Times New Roman" w:cs="Times New Roman"/>
          <w:sz w:val="24"/>
          <w:szCs w:val="24"/>
        </w:rPr>
        <w:t>,</w:t>
      </w:r>
      <w:r w:rsidR="00BB705E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2A">
        <w:rPr>
          <w:rFonts w:ascii="Times New Roman" w:hAnsi="Times New Roman" w:cs="Times New Roman"/>
          <w:sz w:val="24"/>
          <w:szCs w:val="24"/>
        </w:rPr>
        <w:t>iRECS</w:t>
      </w:r>
      <w:proofErr w:type="spellEnd"/>
      <w:r w:rsidRPr="00C7692A">
        <w:rPr>
          <w:rFonts w:ascii="Times New Roman" w:hAnsi="Times New Roman" w:cs="Times New Roman"/>
          <w:sz w:val="24"/>
          <w:szCs w:val="24"/>
        </w:rPr>
        <w:t>,</w:t>
      </w:r>
      <w:r w:rsidR="00130ADB" w:rsidRPr="00C7692A">
        <w:rPr>
          <w:rFonts w:ascii="Times New Roman" w:hAnsi="Times New Roman" w:cs="Times New Roman"/>
          <w:sz w:val="24"/>
          <w:szCs w:val="24"/>
        </w:rPr>
        <w:t xml:space="preserve"> Cure4Aqua, </w:t>
      </w:r>
      <w:proofErr w:type="spellStart"/>
      <w:r w:rsidR="00130ADB" w:rsidRPr="00C7692A">
        <w:rPr>
          <w:rFonts w:ascii="Times New Roman" w:hAnsi="Times New Roman" w:cs="Times New Roman"/>
          <w:sz w:val="24"/>
          <w:szCs w:val="24"/>
        </w:rPr>
        <w:t>iRise</w:t>
      </w:r>
      <w:proofErr w:type="spellEnd"/>
      <w:r w:rsidR="00F568D6" w:rsidRPr="00C769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68D6" w:rsidRPr="00C7692A">
        <w:rPr>
          <w:rFonts w:ascii="Times New Roman" w:hAnsi="Times New Roman" w:cs="Times New Roman"/>
          <w:sz w:val="24"/>
          <w:szCs w:val="24"/>
        </w:rPr>
        <w:t>Changer</w:t>
      </w:r>
      <w:proofErr w:type="spellEnd"/>
      <w:r w:rsidR="00F568D6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9461F5" w:rsidRPr="00C7692A">
        <w:rPr>
          <w:rFonts w:ascii="Times New Roman" w:hAnsi="Times New Roman" w:cs="Times New Roman"/>
          <w:sz w:val="24"/>
          <w:szCs w:val="24"/>
        </w:rPr>
        <w:t xml:space="preserve">i </w:t>
      </w:r>
      <w:r w:rsidRPr="00C7692A">
        <w:rPr>
          <w:rFonts w:ascii="Times New Roman" w:hAnsi="Times New Roman" w:cs="Times New Roman"/>
          <w:sz w:val="24"/>
          <w:szCs w:val="24"/>
        </w:rPr>
        <w:t xml:space="preserve">Youth </w:t>
      </w:r>
      <w:proofErr w:type="spellStart"/>
      <w:r w:rsidRPr="00C7692A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E4562C" w:rsidRPr="00C7692A">
        <w:rPr>
          <w:rFonts w:ascii="Times New Roman" w:hAnsi="Times New Roman" w:cs="Times New Roman"/>
          <w:sz w:val="24"/>
          <w:szCs w:val="24"/>
        </w:rPr>
        <w:t xml:space="preserve">; </w:t>
      </w:r>
      <w:r w:rsidR="00F568D6" w:rsidRPr="00C7692A">
        <w:rPr>
          <w:rFonts w:ascii="Times New Roman" w:hAnsi="Times New Roman" w:cs="Times New Roman"/>
          <w:sz w:val="24"/>
          <w:szCs w:val="24"/>
        </w:rPr>
        <w:t xml:space="preserve">te dva nova Obzor projekta koji započinju u 2025. godini i kod kojih je MEFST koordinator te koji imaju veliki broj domaćih i stranih partnera na projektima. To su projekti </w:t>
      </w:r>
      <w:proofErr w:type="spellStart"/>
      <w:r w:rsidR="00F568D6" w:rsidRPr="00C7692A">
        <w:rPr>
          <w:rFonts w:ascii="Times New Roman" w:hAnsi="Times New Roman" w:cs="Times New Roman"/>
          <w:sz w:val="24"/>
          <w:szCs w:val="24"/>
        </w:rPr>
        <w:t>InnoThyroGen</w:t>
      </w:r>
      <w:proofErr w:type="spellEnd"/>
      <w:r w:rsidR="00F568D6" w:rsidRPr="00C7692A">
        <w:rPr>
          <w:rFonts w:ascii="Times New Roman" w:hAnsi="Times New Roman" w:cs="Times New Roman"/>
          <w:sz w:val="24"/>
          <w:szCs w:val="24"/>
        </w:rPr>
        <w:t xml:space="preserve"> te EU4MEDTECH čiji ukupni proračun u 2025. godini iznosi 4,8 </w:t>
      </w:r>
      <w:proofErr w:type="spellStart"/>
      <w:r w:rsidR="00F568D6" w:rsidRPr="00C7692A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F568D6" w:rsidRPr="00C7692A">
        <w:rPr>
          <w:rFonts w:ascii="Times New Roman" w:hAnsi="Times New Roman" w:cs="Times New Roman"/>
          <w:sz w:val="24"/>
          <w:szCs w:val="24"/>
        </w:rPr>
        <w:t>. EUR.</w:t>
      </w:r>
    </w:p>
    <w:p w14:paraId="1318F874" w14:textId="3172D8DC" w:rsidR="000465B7" w:rsidRPr="00C7692A" w:rsidRDefault="00F568D6" w:rsidP="000B134B">
      <w:pPr>
        <w:spacing w:after="29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N</w:t>
      </w:r>
      <w:r w:rsidR="00E4562C" w:rsidRPr="00C7692A">
        <w:rPr>
          <w:rFonts w:ascii="Times New Roman" w:hAnsi="Times New Roman" w:cs="Times New Roman"/>
          <w:sz w:val="24"/>
          <w:szCs w:val="24"/>
        </w:rPr>
        <w:t>avedeni iznosi su definirani temeljem proračuna navedenih projekata.</w:t>
      </w:r>
    </w:p>
    <w:p w14:paraId="400026F3" w14:textId="6E297F53" w:rsidR="000465B7" w:rsidRPr="00C7692A" w:rsidRDefault="000465B7" w:rsidP="000B134B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Iz izvora </w:t>
      </w:r>
      <w:r w:rsidRPr="00C7692A">
        <w:rPr>
          <w:rFonts w:ascii="Times New Roman" w:hAnsi="Times New Roman" w:cs="Times New Roman"/>
          <w:b/>
          <w:sz w:val="24"/>
          <w:szCs w:val="24"/>
        </w:rPr>
        <w:t>52</w:t>
      </w:r>
      <w:r w:rsidRPr="00C7692A">
        <w:rPr>
          <w:rFonts w:ascii="Times New Roman" w:hAnsi="Times New Roman" w:cs="Times New Roman"/>
          <w:sz w:val="24"/>
          <w:szCs w:val="24"/>
        </w:rPr>
        <w:t xml:space="preserve"> se u razdoblju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godin</w:t>
      </w:r>
      <w:r w:rsidR="00BB705E" w:rsidRPr="00C7692A">
        <w:rPr>
          <w:rFonts w:ascii="Times New Roman" w:hAnsi="Times New Roman" w:cs="Times New Roman"/>
          <w:sz w:val="24"/>
          <w:szCs w:val="24"/>
        </w:rPr>
        <w:t>e</w:t>
      </w:r>
      <w:r w:rsidRPr="00C7692A">
        <w:rPr>
          <w:rFonts w:ascii="Times New Roman" w:hAnsi="Times New Roman" w:cs="Times New Roman"/>
          <w:sz w:val="24"/>
          <w:szCs w:val="24"/>
        </w:rPr>
        <w:t xml:space="preserve"> planiraju ostvariti sljedeći iznosi u EUR:</w:t>
      </w:r>
    </w:p>
    <w:p w14:paraId="60E30394" w14:textId="77777777" w:rsidR="0016712B" w:rsidRPr="00C7692A" w:rsidRDefault="0016712B" w:rsidP="000B134B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0" w:type="dxa"/>
        <w:tblLook w:val="04A0" w:firstRow="1" w:lastRow="0" w:firstColumn="1" w:lastColumn="0" w:noHBand="0" w:noVBand="1"/>
      </w:tblPr>
      <w:tblGrid>
        <w:gridCol w:w="1720"/>
        <w:gridCol w:w="1780"/>
        <w:gridCol w:w="1720"/>
      </w:tblGrid>
      <w:tr w:rsidR="00E4562C" w:rsidRPr="00C7692A" w14:paraId="32DD0343" w14:textId="77777777" w:rsidTr="00F568D6">
        <w:trPr>
          <w:trHeight w:val="300"/>
        </w:trPr>
        <w:tc>
          <w:tcPr>
            <w:tcW w:w="1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000D33AA" w14:textId="081A7D67" w:rsidR="00E4562C" w:rsidRPr="00C7692A" w:rsidRDefault="00F568D6" w:rsidP="000B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900.998</w:t>
            </w:r>
          </w:p>
        </w:tc>
        <w:tc>
          <w:tcPr>
            <w:tcW w:w="1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1583ADA5" w14:textId="199F5D76" w:rsidR="00E4562C" w:rsidRPr="00C7692A" w:rsidRDefault="00F568D6" w:rsidP="000B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520.812</w:t>
            </w:r>
          </w:p>
        </w:tc>
        <w:tc>
          <w:tcPr>
            <w:tcW w:w="17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77A93ED9" w14:textId="59D5C513" w:rsidR="00E4562C" w:rsidRPr="00C7692A" w:rsidRDefault="00F568D6" w:rsidP="000B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455.261</w:t>
            </w:r>
          </w:p>
        </w:tc>
      </w:tr>
    </w:tbl>
    <w:p w14:paraId="1BA87527" w14:textId="77777777" w:rsidR="00F568D6" w:rsidRPr="00C7692A" w:rsidRDefault="00F568D6" w:rsidP="00130ADB">
      <w:pPr>
        <w:spacing w:after="29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63D2EF7D" w14:textId="78F64B02" w:rsidR="000465B7" w:rsidRPr="00C7692A" w:rsidRDefault="0016712B" w:rsidP="00130ADB">
      <w:pPr>
        <w:spacing w:after="29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F78E8" w:rsidRPr="00C7692A">
        <w:rPr>
          <w:rFonts w:ascii="Times New Roman" w:hAnsi="Times New Roman" w:cs="Times New Roman"/>
          <w:sz w:val="24"/>
          <w:szCs w:val="24"/>
        </w:rPr>
        <w:t>l</w:t>
      </w:r>
      <w:r w:rsidRPr="00C7692A">
        <w:rPr>
          <w:rFonts w:ascii="Times New Roman" w:hAnsi="Times New Roman" w:cs="Times New Roman"/>
          <w:sz w:val="24"/>
          <w:szCs w:val="24"/>
        </w:rPr>
        <w:t xml:space="preserve">anirana sredstva se u najvećem dijelu odnose na sredstva iz Hrvatske zaklade za znanost za aktivne HRZZ projekte </w:t>
      </w:r>
      <w:r w:rsidR="004F78E8" w:rsidRPr="00C7692A">
        <w:rPr>
          <w:rFonts w:ascii="Times New Roman" w:hAnsi="Times New Roman" w:cs="Times New Roman"/>
          <w:sz w:val="24"/>
          <w:szCs w:val="24"/>
        </w:rPr>
        <w:t>kao i</w:t>
      </w:r>
      <w:r w:rsidRPr="00C7692A">
        <w:rPr>
          <w:rFonts w:ascii="Times New Roman" w:hAnsi="Times New Roman" w:cs="Times New Roman"/>
          <w:sz w:val="24"/>
          <w:szCs w:val="24"/>
        </w:rPr>
        <w:t xml:space="preserve"> za plaće </w:t>
      </w:r>
      <w:proofErr w:type="spellStart"/>
      <w:r w:rsidRPr="00C7692A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Pr="00C7692A">
        <w:rPr>
          <w:rFonts w:ascii="Times New Roman" w:hAnsi="Times New Roman" w:cs="Times New Roman"/>
          <w:sz w:val="24"/>
          <w:szCs w:val="24"/>
        </w:rPr>
        <w:t xml:space="preserve">. Ostalo se odnosi na </w:t>
      </w:r>
      <w:r w:rsidR="00130ADB" w:rsidRPr="00C7692A">
        <w:rPr>
          <w:rFonts w:ascii="Times New Roman" w:hAnsi="Times New Roman" w:cs="Times New Roman"/>
          <w:sz w:val="24"/>
          <w:szCs w:val="24"/>
        </w:rPr>
        <w:t xml:space="preserve">projekte AI4Health.Cro te </w:t>
      </w:r>
      <w:proofErr w:type="spellStart"/>
      <w:r w:rsidR="00130ADB" w:rsidRPr="00C7692A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="00130ADB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ADB" w:rsidRPr="00C7692A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="00662506" w:rsidRPr="00C7692A">
        <w:rPr>
          <w:rFonts w:ascii="Times New Roman" w:hAnsi="Times New Roman" w:cs="Times New Roman"/>
          <w:sz w:val="24"/>
          <w:szCs w:val="24"/>
        </w:rPr>
        <w:t>;</w:t>
      </w:r>
      <w:r w:rsidR="0081432C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0B134B" w:rsidRPr="00C7692A">
        <w:rPr>
          <w:rFonts w:ascii="Times New Roman" w:hAnsi="Times New Roman" w:cs="Times New Roman"/>
          <w:sz w:val="24"/>
          <w:szCs w:val="24"/>
        </w:rPr>
        <w:t xml:space="preserve">na </w:t>
      </w:r>
      <w:r w:rsidR="004F78E8" w:rsidRPr="00C7692A">
        <w:rPr>
          <w:rFonts w:ascii="Times New Roman" w:hAnsi="Times New Roman" w:cs="Times New Roman"/>
          <w:sz w:val="24"/>
          <w:szCs w:val="24"/>
        </w:rPr>
        <w:t xml:space="preserve">prihode od Sveučilišta u Splitu (nastava u Mostaru te </w:t>
      </w:r>
      <w:proofErr w:type="spellStart"/>
      <w:r w:rsidR="004F78E8" w:rsidRPr="00C7692A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4F78E8" w:rsidRPr="00C7692A">
        <w:rPr>
          <w:rFonts w:ascii="Times New Roman" w:hAnsi="Times New Roman" w:cs="Times New Roman"/>
          <w:sz w:val="24"/>
          <w:szCs w:val="24"/>
        </w:rPr>
        <w:t>+ projekt</w:t>
      </w:r>
      <w:r w:rsidR="00662506" w:rsidRPr="00C7692A">
        <w:rPr>
          <w:rFonts w:ascii="Times New Roman" w:hAnsi="Times New Roman" w:cs="Times New Roman"/>
          <w:sz w:val="24"/>
          <w:szCs w:val="24"/>
        </w:rPr>
        <w:t>i</w:t>
      </w:r>
      <w:r w:rsidR="004F78E8" w:rsidRPr="00C7692A">
        <w:rPr>
          <w:rFonts w:ascii="Times New Roman" w:hAnsi="Times New Roman" w:cs="Times New Roman"/>
          <w:sz w:val="24"/>
          <w:szCs w:val="24"/>
        </w:rPr>
        <w:t>)</w:t>
      </w:r>
      <w:r w:rsidR="0081432C" w:rsidRPr="00C7692A">
        <w:rPr>
          <w:rFonts w:ascii="Times New Roman" w:hAnsi="Times New Roman" w:cs="Times New Roman"/>
          <w:sz w:val="24"/>
          <w:szCs w:val="24"/>
        </w:rPr>
        <w:t xml:space="preserve"> te na ostale pomoći</w:t>
      </w:r>
      <w:r w:rsidRPr="00C7692A">
        <w:rPr>
          <w:rFonts w:ascii="Times New Roman" w:hAnsi="Times New Roman" w:cs="Times New Roman"/>
          <w:sz w:val="24"/>
          <w:szCs w:val="24"/>
        </w:rPr>
        <w:t>.</w:t>
      </w:r>
      <w:r w:rsidR="004F78E8" w:rsidRPr="00C7692A">
        <w:rPr>
          <w:rFonts w:ascii="Times New Roman" w:hAnsi="Times New Roman" w:cs="Times New Roman"/>
          <w:sz w:val="24"/>
          <w:szCs w:val="24"/>
        </w:rPr>
        <w:t xml:space="preserve"> Iznosi su planirani po godinama prema proračunima projekata te podacima dostavljenima od isplatitelja.</w:t>
      </w:r>
    </w:p>
    <w:p w14:paraId="2E3A798F" w14:textId="2BBF8B09" w:rsidR="00B633FC" w:rsidRPr="00C7692A" w:rsidRDefault="00B633FC" w:rsidP="00B633FC">
      <w:pPr>
        <w:spacing w:after="0"/>
        <w:ind w:right="14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 xml:space="preserve">61 Donacije </w:t>
      </w:r>
      <w:r w:rsidRPr="00C7692A">
        <w:rPr>
          <w:rFonts w:ascii="Times New Roman" w:hAnsi="Times New Roman" w:cs="Times New Roman"/>
          <w:sz w:val="24"/>
          <w:szCs w:val="24"/>
        </w:rPr>
        <w:t xml:space="preserve">se odnose na namjenske donacije fizičkih osoba, neprofitnih organizacija, trgovačkih društava i ostalih subjekata izvan općeg proračuna (ovdje su uključena i sredstva </w:t>
      </w:r>
      <w:r w:rsidR="005E59D2" w:rsidRPr="00C7692A">
        <w:rPr>
          <w:rFonts w:ascii="Times New Roman" w:hAnsi="Times New Roman" w:cs="Times New Roman"/>
          <w:sz w:val="24"/>
          <w:szCs w:val="24"/>
        </w:rPr>
        <w:t xml:space="preserve">koja se planiraju primiti od Zaklade Adris za projekt </w:t>
      </w:r>
      <w:proofErr w:type="spellStart"/>
      <w:r w:rsidR="005E59D2" w:rsidRPr="00C7692A">
        <w:rPr>
          <w:rFonts w:ascii="Times New Roman" w:hAnsi="Times New Roman" w:cs="Times New Roman"/>
          <w:sz w:val="24"/>
          <w:szCs w:val="24"/>
        </w:rPr>
        <w:t>CroRin</w:t>
      </w:r>
      <w:proofErr w:type="spellEnd"/>
      <w:r w:rsidR="005E59D2" w:rsidRPr="00C7692A">
        <w:rPr>
          <w:rFonts w:ascii="Times New Roman" w:hAnsi="Times New Roman" w:cs="Times New Roman"/>
          <w:sz w:val="24"/>
          <w:szCs w:val="24"/>
        </w:rPr>
        <w:t xml:space="preserve"> te od </w:t>
      </w:r>
      <w:r w:rsidR="00DA46F3" w:rsidRPr="00C7692A">
        <w:rPr>
          <w:rFonts w:ascii="Times New Roman" w:hAnsi="Times New Roman" w:cs="Times New Roman"/>
          <w:sz w:val="24"/>
          <w:szCs w:val="24"/>
        </w:rPr>
        <w:t>tvrtke</w:t>
      </w:r>
      <w:r w:rsidR="006C4BDE" w:rsidRPr="00C7692A">
        <w:rPr>
          <w:rFonts w:ascii="Times New Roman" w:hAnsi="Times New Roman" w:cs="Times New Roman"/>
          <w:sz w:val="24"/>
          <w:szCs w:val="24"/>
        </w:rPr>
        <w:t xml:space="preserve"> SPIN </w:t>
      </w:r>
      <w:proofErr w:type="spellStart"/>
      <w:r w:rsidR="006C4BDE" w:rsidRPr="00C7692A">
        <w:rPr>
          <w:rFonts w:ascii="Times New Roman" w:hAnsi="Times New Roman" w:cs="Times New Roman"/>
          <w:sz w:val="24"/>
          <w:szCs w:val="24"/>
        </w:rPr>
        <w:t>Apiotix</w:t>
      </w:r>
      <w:proofErr w:type="spellEnd"/>
      <w:r w:rsidR="006C4BDE" w:rsidRPr="00C7692A">
        <w:rPr>
          <w:rFonts w:ascii="Times New Roman" w:hAnsi="Times New Roman" w:cs="Times New Roman"/>
          <w:sz w:val="24"/>
          <w:szCs w:val="24"/>
        </w:rPr>
        <w:t xml:space="preserve"> za aktualni projekt</w:t>
      </w:r>
      <w:r w:rsidR="00FE2E26">
        <w:rPr>
          <w:rFonts w:ascii="Times New Roman" w:hAnsi="Times New Roman" w:cs="Times New Roman"/>
          <w:sz w:val="24"/>
          <w:szCs w:val="24"/>
        </w:rPr>
        <w:t>)</w:t>
      </w:r>
      <w:r w:rsidR="006C4BDE" w:rsidRPr="00C7692A">
        <w:rPr>
          <w:rFonts w:ascii="Times New Roman" w:hAnsi="Times New Roman" w:cs="Times New Roman"/>
          <w:sz w:val="24"/>
          <w:szCs w:val="24"/>
        </w:rPr>
        <w:t>.</w:t>
      </w:r>
    </w:p>
    <w:p w14:paraId="1456330D" w14:textId="77777777" w:rsidR="005E59D2" w:rsidRPr="00C7692A" w:rsidRDefault="005E59D2" w:rsidP="00B633FC">
      <w:pPr>
        <w:spacing w:after="0"/>
        <w:ind w:right="14"/>
        <w:rPr>
          <w:rFonts w:ascii="Times New Roman" w:hAnsi="Times New Roman" w:cs="Times New Roman"/>
          <w:sz w:val="24"/>
          <w:szCs w:val="24"/>
        </w:rPr>
      </w:pPr>
    </w:p>
    <w:p w14:paraId="49F133DE" w14:textId="5109B836" w:rsidR="008436FE" w:rsidRPr="00C7692A" w:rsidRDefault="008436FE" w:rsidP="008436FE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Iz izvora </w:t>
      </w:r>
      <w:r w:rsidRPr="00C7692A">
        <w:rPr>
          <w:rFonts w:ascii="Times New Roman" w:hAnsi="Times New Roman" w:cs="Times New Roman"/>
          <w:b/>
          <w:sz w:val="24"/>
          <w:szCs w:val="24"/>
        </w:rPr>
        <w:t>61</w:t>
      </w:r>
      <w:r w:rsidRPr="00C7692A">
        <w:rPr>
          <w:rFonts w:ascii="Times New Roman" w:hAnsi="Times New Roman" w:cs="Times New Roman"/>
          <w:sz w:val="24"/>
          <w:szCs w:val="24"/>
        </w:rPr>
        <w:t xml:space="preserve"> se u razdoblju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godin</w:t>
      </w:r>
      <w:r w:rsidR="00BB705E" w:rsidRPr="00C7692A">
        <w:rPr>
          <w:rFonts w:ascii="Times New Roman" w:hAnsi="Times New Roman" w:cs="Times New Roman"/>
          <w:sz w:val="24"/>
          <w:szCs w:val="24"/>
        </w:rPr>
        <w:t>e</w:t>
      </w:r>
      <w:r w:rsidRPr="00C7692A">
        <w:rPr>
          <w:rFonts w:ascii="Times New Roman" w:hAnsi="Times New Roman" w:cs="Times New Roman"/>
          <w:sz w:val="24"/>
          <w:szCs w:val="24"/>
        </w:rPr>
        <w:t xml:space="preserve"> planiraju ostvariti sljedeći iznosi u EUR:</w:t>
      </w:r>
    </w:p>
    <w:p w14:paraId="455FA3B0" w14:textId="77777777" w:rsidR="008436FE" w:rsidRPr="00C7692A" w:rsidRDefault="008436FE" w:rsidP="008436FE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0" w:type="dxa"/>
        <w:tblLook w:val="04A0" w:firstRow="1" w:lastRow="0" w:firstColumn="1" w:lastColumn="0" w:noHBand="0" w:noVBand="1"/>
      </w:tblPr>
      <w:tblGrid>
        <w:gridCol w:w="1720"/>
        <w:gridCol w:w="1780"/>
        <w:gridCol w:w="1720"/>
      </w:tblGrid>
      <w:tr w:rsidR="008436FE" w:rsidRPr="00C7692A" w14:paraId="460B8F6E" w14:textId="77777777" w:rsidTr="008436FE">
        <w:trPr>
          <w:trHeight w:val="300"/>
        </w:trPr>
        <w:tc>
          <w:tcPr>
            <w:tcW w:w="1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1178131" w14:textId="69B83459" w:rsidR="008436FE" w:rsidRPr="00C7692A" w:rsidRDefault="006C4B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90.000</w:t>
            </w:r>
          </w:p>
        </w:tc>
        <w:tc>
          <w:tcPr>
            <w:tcW w:w="1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7DC3D7A4" w14:textId="4849E815" w:rsidR="008436FE" w:rsidRPr="00C7692A" w:rsidRDefault="006C4B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85.000</w:t>
            </w:r>
          </w:p>
        </w:tc>
        <w:tc>
          <w:tcPr>
            <w:tcW w:w="17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D349A2D" w14:textId="1D115C3A" w:rsidR="008436FE" w:rsidRPr="00C7692A" w:rsidRDefault="006C4B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85.000</w:t>
            </w:r>
          </w:p>
        </w:tc>
      </w:tr>
    </w:tbl>
    <w:p w14:paraId="448A5C0E" w14:textId="77777777" w:rsidR="008436FE" w:rsidRPr="00C7692A" w:rsidRDefault="008436FE" w:rsidP="008436FE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225453B8" w14:textId="77777777" w:rsidR="006069A8" w:rsidRPr="00C7692A" w:rsidRDefault="006069A8" w:rsidP="00B633FC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</w:p>
    <w:p w14:paraId="181C6EE5" w14:textId="77777777" w:rsidR="006069A8" w:rsidRPr="00C7692A" w:rsidRDefault="006069A8" w:rsidP="00B633FC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</w:p>
    <w:p w14:paraId="15D711BF" w14:textId="77777777" w:rsidR="00F471E7" w:rsidRPr="00C7692A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76D09BF5" w14:textId="2C9A5621" w:rsidR="00955BA8" w:rsidRPr="00C7692A" w:rsidRDefault="00955BA8" w:rsidP="00955BA8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Ukupni rashodi se u razdoblju 202</w:t>
      </w:r>
      <w:r w:rsidR="00DA46F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-202</w:t>
      </w:r>
      <w:r w:rsidR="00DA46F3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godin</w:t>
      </w:r>
      <w:r w:rsidR="00BB705E" w:rsidRPr="00C7692A">
        <w:rPr>
          <w:rFonts w:ascii="Times New Roman" w:hAnsi="Times New Roman" w:cs="Times New Roman"/>
          <w:sz w:val="24"/>
          <w:szCs w:val="24"/>
        </w:rPr>
        <w:t>e</w:t>
      </w:r>
      <w:r w:rsidRPr="00C7692A">
        <w:rPr>
          <w:rFonts w:ascii="Times New Roman" w:hAnsi="Times New Roman" w:cs="Times New Roman"/>
          <w:sz w:val="24"/>
          <w:szCs w:val="24"/>
        </w:rPr>
        <w:t xml:space="preserve"> planiraju ostvariti u sljedećim iznosima</w:t>
      </w:r>
    </w:p>
    <w:p w14:paraId="3BFC0276" w14:textId="77777777" w:rsidR="00955BA8" w:rsidRPr="00C7692A" w:rsidRDefault="00955BA8" w:rsidP="00955BA8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 ( EUR):</w:t>
      </w:r>
    </w:p>
    <w:p w14:paraId="4DF73777" w14:textId="77777777" w:rsidR="00955BA8" w:rsidRPr="00C7692A" w:rsidRDefault="00955BA8" w:rsidP="0095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0" w:type="dxa"/>
        <w:tblLook w:val="04A0" w:firstRow="1" w:lastRow="0" w:firstColumn="1" w:lastColumn="0" w:noHBand="0" w:noVBand="1"/>
      </w:tblPr>
      <w:tblGrid>
        <w:gridCol w:w="1720"/>
        <w:gridCol w:w="1660"/>
        <w:gridCol w:w="1600"/>
      </w:tblGrid>
      <w:tr w:rsidR="00955BA8" w:rsidRPr="00C7692A" w14:paraId="09EA661F" w14:textId="77777777" w:rsidTr="001E344D">
        <w:trPr>
          <w:trHeight w:val="300"/>
        </w:trPr>
        <w:tc>
          <w:tcPr>
            <w:tcW w:w="17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2017BED4" w14:textId="5C4E2959" w:rsidR="00955BA8" w:rsidRPr="00C7692A" w:rsidRDefault="001E344D" w:rsidP="00F7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17.</w:t>
            </w:r>
            <w:r w:rsidR="008823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760.103</w:t>
            </w:r>
          </w:p>
        </w:tc>
        <w:tc>
          <w:tcPr>
            <w:tcW w:w="166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4A008263" w14:textId="54FC942B" w:rsidR="00955BA8" w:rsidRPr="00C7692A" w:rsidRDefault="001E344D" w:rsidP="00F7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15.</w:t>
            </w:r>
            <w:r w:rsidR="008823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321.397</w:t>
            </w:r>
          </w:p>
        </w:tc>
        <w:tc>
          <w:tcPr>
            <w:tcW w:w="16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1096F2B9" w14:textId="3D9F1F4A" w:rsidR="00955BA8" w:rsidRPr="00C7692A" w:rsidRDefault="001E344D" w:rsidP="00F7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13.</w:t>
            </w:r>
            <w:r w:rsidR="008823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490.141</w:t>
            </w:r>
          </w:p>
        </w:tc>
      </w:tr>
    </w:tbl>
    <w:p w14:paraId="005C6E9C" w14:textId="77777777" w:rsidR="00955BA8" w:rsidRPr="00C7692A" w:rsidRDefault="00955BA8" w:rsidP="002B2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C04C0" w14:textId="0E4D0074" w:rsidR="00B25C63" w:rsidRPr="00C7692A" w:rsidRDefault="00B25C63" w:rsidP="00B25C63">
      <w:pPr>
        <w:spacing w:after="0"/>
        <w:ind w:right="14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U 202</w:t>
      </w:r>
      <w:r w:rsidR="001E344D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. godini se planira</w:t>
      </w:r>
      <w:r w:rsidR="007010B6" w:rsidRPr="00C7692A">
        <w:rPr>
          <w:rFonts w:ascii="Times New Roman" w:hAnsi="Times New Roman" w:cs="Times New Roman"/>
          <w:sz w:val="24"/>
          <w:szCs w:val="24"/>
        </w:rPr>
        <w:t xml:space="preserve">ju na </w:t>
      </w:r>
      <w:r w:rsidR="001E344D" w:rsidRPr="00C7692A">
        <w:rPr>
          <w:rFonts w:ascii="Times New Roman" w:hAnsi="Times New Roman" w:cs="Times New Roman"/>
          <w:sz w:val="24"/>
          <w:szCs w:val="24"/>
        </w:rPr>
        <w:t xml:space="preserve">značajno većem nivou </w:t>
      </w:r>
      <w:r w:rsidR="00BB705E" w:rsidRPr="00C7692A">
        <w:rPr>
          <w:rFonts w:ascii="Times New Roman" w:hAnsi="Times New Roman" w:cs="Times New Roman"/>
          <w:sz w:val="24"/>
          <w:szCs w:val="24"/>
        </w:rPr>
        <w:t>u</w:t>
      </w:r>
      <w:r w:rsidR="007010B6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>odnosu na realizaciju rashoda u 202</w:t>
      </w:r>
      <w:r w:rsidR="001E344D" w:rsidRPr="00C7692A">
        <w:rPr>
          <w:rFonts w:ascii="Times New Roman" w:hAnsi="Times New Roman" w:cs="Times New Roman"/>
          <w:sz w:val="24"/>
          <w:szCs w:val="24"/>
        </w:rPr>
        <w:t>3</w:t>
      </w:r>
      <w:r w:rsidRPr="00C7692A">
        <w:rPr>
          <w:rFonts w:ascii="Times New Roman" w:hAnsi="Times New Roman" w:cs="Times New Roman"/>
          <w:sz w:val="24"/>
          <w:szCs w:val="24"/>
        </w:rPr>
        <w:t>. godini</w:t>
      </w:r>
      <w:r w:rsidR="00976EAF" w:rsidRPr="00C7692A">
        <w:rPr>
          <w:rFonts w:ascii="Times New Roman" w:hAnsi="Times New Roman" w:cs="Times New Roman"/>
          <w:sz w:val="24"/>
          <w:szCs w:val="24"/>
        </w:rPr>
        <w:t xml:space="preserve"> (+</w:t>
      </w:r>
      <w:r w:rsidR="00882328">
        <w:rPr>
          <w:rFonts w:ascii="Times New Roman" w:hAnsi="Times New Roman" w:cs="Times New Roman"/>
          <w:sz w:val="24"/>
          <w:szCs w:val="24"/>
        </w:rPr>
        <w:t>59</w:t>
      </w:r>
      <w:r w:rsidR="006F1FD0" w:rsidRPr="00C7692A">
        <w:rPr>
          <w:rFonts w:ascii="Times New Roman" w:hAnsi="Times New Roman" w:cs="Times New Roman"/>
          <w:sz w:val="24"/>
          <w:szCs w:val="24"/>
        </w:rPr>
        <w:t>%),</w:t>
      </w:r>
      <w:r w:rsidRPr="00C7692A">
        <w:rPr>
          <w:rFonts w:ascii="Times New Roman" w:hAnsi="Times New Roman" w:cs="Times New Roman"/>
          <w:sz w:val="24"/>
          <w:szCs w:val="24"/>
        </w:rPr>
        <w:t xml:space="preserve"> te </w:t>
      </w:r>
      <w:r w:rsidR="007010B6" w:rsidRPr="00C7692A">
        <w:rPr>
          <w:rFonts w:ascii="Times New Roman" w:hAnsi="Times New Roman" w:cs="Times New Roman"/>
          <w:sz w:val="24"/>
          <w:szCs w:val="24"/>
        </w:rPr>
        <w:t xml:space="preserve">se </w:t>
      </w:r>
      <w:r w:rsidR="006F1FD0" w:rsidRPr="00C7692A">
        <w:rPr>
          <w:rFonts w:ascii="Times New Roman" w:hAnsi="Times New Roman" w:cs="Times New Roman"/>
          <w:sz w:val="24"/>
          <w:szCs w:val="24"/>
        </w:rPr>
        <w:t xml:space="preserve">također </w:t>
      </w:r>
      <w:r w:rsidR="007010B6" w:rsidRPr="00C7692A">
        <w:rPr>
          <w:rFonts w:ascii="Times New Roman" w:hAnsi="Times New Roman" w:cs="Times New Roman"/>
          <w:sz w:val="24"/>
          <w:szCs w:val="24"/>
        </w:rPr>
        <w:t xml:space="preserve">planira </w:t>
      </w:r>
      <w:r w:rsidR="006F1FD0" w:rsidRPr="00C7692A">
        <w:rPr>
          <w:rFonts w:ascii="Times New Roman" w:hAnsi="Times New Roman" w:cs="Times New Roman"/>
          <w:sz w:val="24"/>
          <w:szCs w:val="24"/>
        </w:rPr>
        <w:t>porast u visini +4</w:t>
      </w:r>
      <w:r w:rsidR="00882328">
        <w:rPr>
          <w:rFonts w:ascii="Times New Roman" w:hAnsi="Times New Roman" w:cs="Times New Roman"/>
          <w:sz w:val="24"/>
          <w:szCs w:val="24"/>
        </w:rPr>
        <w:t>0</w:t>
      </w:r>
      <w:r w:rsidR="006F1FD0" w:rsidRPr="00C7692A">
        <w:rPr>
          <w:rFonts w:ascii="Times New Roman" w:hAnsi="Times New Roman" w:cs="Times New Roman"/>
          <w:sz w:val="24"/>
          <w:szCs w:val="24"/>
        </w:rPr>
        <w:t xml:space="preserve">% </w:t>
      </w:r>
      <w:r w:rsidRPr="00C7692A">
        <w:rPr>
          <w:rFonts w:ascii="Times New Roman" w:hAnsi="Times New Roman" w:cs="Times New Roman"/>
          <w:sz w:val="24"/>
          <w:szCs w:val="24"/>
        </w:rPr>
        <w:t xml:space="preserve"> u odnosu na plan za 202</w:t>
      </w:r>
      <w:r w:rsidR="001E344D" w:rsidRPr="00C7692A">
        <w:rPr>
          <w:rFonts w:ascii="Times New Roman" w:hAnsi="Times New Roman" w:cs="Times New Roman"/>
          <w:sz w:val="24"/>
          <w:szCs w:val="24"/>
        </w:rPr>
        <w:t>4</w:t>
      </w:r>
      <w:r w:rsidRPr="00C7692A">
        <w:rPr>
          <w:rFonts w:ascii="Times New Roman" w:hAnsi="Times New Roman" w:cs="Times New Roman"/>
          <w:sz w:val="24"/>
          <w:szCs w:val="24"/>
        </w:rPr>
        <w:t>. godinu.</w:t>
      </w:r>
    </w:p>
    <w:p w14:paraId="06AD7E22" w14:textId="7534D6FB" w:rsidR="006F1FD0" w:rsidRPr="00C7692A" w:rsidRDefault="006F1FD0" w:rsidP="006F1FD0">
      <w:pPr>
        <w:spacing w:after="0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Navedeni rast rashoda </w:t>
      </w:r>
      <w:r w:rsidRPr="00C7692A">
        <w:rPr>
          <w:rFonts w:ascii="Times New Roman" w:hAnsi="Times New Roman" w:cs="Times New Roman"/>
          <w:color w:val="000000"/>
          <w:sz w:val="24"/>
          <w:szCs w:val="24"/>
        </w:rPr>
        <w:t xml:space="preserve">je u najvećoj mjeri uzrokovan činjenicom da u 2025. godini počinje realizacija dva nova velika Obzor projekta kod kojih je prvi put MEFST koordinator uz veliki broj partnera na ta dva projekta (domaćih i stranih) te se planiraju i značajni rashodi za isplate navedenim partnerima na projektima. </w:t>
      </w:r>
    </w:p>
    <w:p w14:paraId="48CC9905" w14:textId="0728644E" w:rsidR="006F1FD0" w:rsidRPr="00C7692A" w:rsidRDefault="006F1FD0" w:rsidP="006F1FD0">
      <w:pPr>
        <w:spacing w:after="0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92A">
        <w:rPr>
          <w:rFonts w:ascii="Times New Roman" w:hAnsi="Times New Roman" w:cs="Times New Roman"/>
          <w:color w:val="000000"/>
          <w:sz w:val="24"/>
          <w:szCs w:val="24"/>
        </w:rPr>
        <w:t>U razdoblju 2026-2027. godine rashodi se planiraju na nešto  nižem nivou od 2025. godine radi očekivanog završetka dijela projekata koji su u tijeku te planirane dinamike realizacije postojećih projekata. Očekuje se da će se u međuvremenu pokrenuti novi projekti čija će realizacija biti u navedenim godinama</w:t>
      </w:r>
    </w:p>
    <w:p w14:paraId="6C52D8F7" w14:textId="6E458F7D" w:rsidR="00C1476B" w:rsidRPr="00C7692A" w:rsidRDefault="00C1476B" w:rsidP="006F1FD0">
      <w:pPr>
        <w:spacing w:after="0"/>
        <w:ind w:right="14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U razdoblju 202</w:t>
      </w:r>
      <w:r w:rsidR="006F1FD0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-202</w:t>
      </w:r>
      <w:r w:rsidR="006F1FD0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godin</w:t>
      </w:r>
      <w:r w:rsidR="00BB705E" w:rsidRPr="00C7692A">
        <w:rPr>
          <w:rFonts w:ascii="Times New Roman" w:hAnsi="Times New Roman" w:cs="Times New Roman"/>
          <w:sz w:val="24"/>
          <w:szCs w:val="24"/>
        </w:rPr>
        <w:t>e</w:t>
      </w:r>
      <w:r w:rsidRPr="00C7692A">
        <w:rPr>
          <w:rFonts w:ascii="Times New Roman" w:hAnsi="Times New Roman" w:cs="Times New Roman"/>
          <w:sz w:val="24"/>
          <w:szCs w:val="24"/>
        </w:rPr>
        <w:t xml:space="preserve"> izdaci nisu planirani.</w:t>
      </w:r>
    </w:p>
    <w:p w14:paraId="415A76EA" w14:textId="77777777" w:rsidR="00B25C63" w:rsidRPr="00C7692A" w:rsidRDefault="00B25C63" w:rsidP="002B2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297DA" w14:textId="77DDB03C" w:rsidR="00AC3E27" w:rsidRPr="00C7692A" w:rsidRDefault="00AC3E27" w:rsidP="002B2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Najznačajniji rashodi se </w:t>
      </w:r>
      <w:r w:rsidR="00955BA8" w:rsidRPr="00C7692A">
        <w:rPr>
          <w:rFonts w:ascii="Times New Roman" w:hAnsi="Times New Roman" w:cs="Times New Roman"/>
          <w:sz w:val="24"/>
          <w:szCs w:val="24"/>
        </w:rPr>
        <w:t>u 202</w:t>
      </w:r>
      <w:r w:rsidR="0029476B">
        <w:rPr>
          <w:rFonts w:ascii="Times New Roman" w:hAnsi="Times New Roman" w:cs="Times New Roman"/>
          <w:sz w:val="24"/>
          <w:szCs w:val="24"/>
        </w:rPr>
        <w:t>5</w:t>
      </w:r>
      <w:r w:rsidR="00955BA8" w:rsidRPr="00C7692A">
        <w:rPr>
          <w:rFonts w:ascii="Times New Roman" w:hAnsi="Times New Roman" w:cs="Times New Roman"/>
          <w:sz w:val="24"/>
          <w:szCs w:val="24"/>
        </w:rPr>
        <w:t xml:space="preserve">. godini </w:t>
      </w:r>
      <w:r w:rsidRPr="00C7692A">
        <w:rPr>
          <w:rFonts w:ascii="Times New Roman" w:hAnsi="Times New Roman" w:cs="Times New Roman"/>
          <w:sz w:val="24"/>
          <w:szCs w:val="24"/>
        </w:rPr>
        <w:t>odnose na rashode za zaposlene (</w:t>
      </w:r>
      <w:r w:rsidR="0040017C" w:rsidRPr="00C7692A">
        <w:rPr>
          <w:rFonts w:ascii="Times New Roman" w:hAnsi="Times New Roman" w:cs="Times New Roman"/>
          <w:sz w:val="24"/>
          <w:szCs w:val="24"/>
        </w:rPr>
        <w:t>10</w:t>
      </w:r>
      <w:r w:rsidR="008824AD" w:rsidRPr="00C7692A">
        <w:rPr>
          <w:rFonts w:ascii="Times New Roman" w:hAnsi="Times New Roman" w:cs="Times New Roman"/>
          <w:sz w:val="24"/>
          <w:szCs w:val="24"/>
        </w:rPr>
        <w:t>,</w:t>
      </w:r>
      <w:r w:rsidR="0029476B">
        <w:rPr>
          <w:rFonts w:ascii="Times New Roman" w:hAnsi="Times New Roman" w:cs="Times New Roman"/>
          <w:sz w:val="24"/>
          <w:szCs w:val="24"/>
        </w:rPr>
        <w:t>0</w:t>
      </w:r>
      <w:r w:rsidR="0040017C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17C" w:rsidRPr="00C7692A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Pr="00C7692A">
        <w:rPr>
          <w:rFonts w:ascii="Times New Roman" w:hAnsi="Times New Roman" w:cs="Times New Roman"/>
          <w:sz w:val="24"/>
          <w:szCs w:val="24"/>
        </w:rPr>
        <w:t>.</w:t>
      </w:r>
      <w:r w:rsidR="008824AD" w:rsidRPr="00C7692A">
        <w:rPr>
          <w:rFonts w:ascii="Times New Roman" w:hAnsi="Times New Roman" w:cs="Times New Roman"/>
          <w:sz w:val="24"/>
          <w:szCs w:val="24"/>
        </w:rPr>
        <w:t xml:space="preserve"> EUR</w:t>
      </w:r>
      <w:r w:rsidRPr="00C7692A">
        <w:rPr>
          <w:rFonts w:ascii="Times New Roman" w:hAnsi="Times New Roman" w:cs="Times New Roman"/>
          <w:sz w:val="24"/>
          <w:szCs w:val="24"/>
        </w:rPr>
        <w:t xml:space="preserve"> odnosno </w:t>
      </w:r>
      <w:r w:rsidR="008824AD" w:rsidRPr="00C7692A">
        <w:rPr>
          <w:rFonts w:ascii="Times New Roman" w:hAnsi="Times New Roman" w:cs="Times New Roman"/>
          <w:sz w:val="24"/>
          <w:szCs w:val="24"/>
        </w:rPr>
        <w:t>5</w:t>
      </w:r>
      <w:r w:rsidR="0029476B">
        <w:rPr>
          <w:rFonts w:ascii="Times New Roman" w:hAnsi="Times New Roman" w:cs="Times New Roman"/>
          <w:sz w:val="24"/>
          <w:szCs w:val="24"/>
        </w:rPr>
        <w:t>6</w:t>
      </w:r>
      <w:r w:rsidRPr="00C7692A">
        <w:rPr>
          <w:rFonts w:ascii="Times New Roman" w:hAnsi="Times New Roman" w:cs="Times New Roman"/>
          <w:sz w:val="24"/>
          <w:szCs w:val="24"/>
        </w:rPr>
        <w:t>% ukupnih rashoda), na materijalne rashode (</w:t>
      </w:r>
      <w:r w:rsidR="008824AD" w:rsidRPr="00C7692A">
        <w:rPr>
          <w:rFonts w:ascii="Times New Roman" w:hAnsi="Times New Roman" w:cs="Times New Roman"/>
          <w:sz w:val="24"/>
          <w:szCs w:val="24"/>
        </w:rPr>
        <w:t xml:space="preserve">2,8 </w:t>
      </w:r>
      <w:proofErr w:type="spellStart"/>
      <w:r w:rsidR="008824AD" w:rsidRPr="00C7692A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8824AD" w:rsidRPr="00C7692A">
        <w:rPr>
          <w:rFonts w:ascii="Times New Roman" w:hAnsi="Times New Roman" w:cs="Times New Roman"/>
          <w:sz w:val="24"/>
          <w:szCs w:val="24"/>
        </w:rPr>
        <w:t>.</w:t>
      </w:r>
      <w:r w:rsidRPr="00C7692A">
        <w:rPr>
          <w:rFonts w:ascii="Times New Roman" w:hAnsi="Times New Roman" w:cs="Times New Roman"/>
          <w:sz w:val="24"/>
          <w:szCs w:val="24"/>
        </w:rPr>
        <w:t xml:space="preserve"> EUR odnosno </w:t>
      </w:r>
      <w:r w:rsidR="008824AD" w:rsidRPr="00C7692A">
        <w:rPr>
          <w:rFonts w:ascii="Times New Roman" w:hAnsi="Times New Roman" w:cs="Times New Roman"/>
          <w:sz w:val="24"/>
          <w:szCs w:val="24"/>
        </w:rPr>
        <w:t>16</w:t>
      </w:r>
      <w:r w:rsidRPr="00C7692A">
        <w:rPr>
          <w:rFonts w:ascii="Times New Roman" w:hAnsi="Times New Roman" w:cs="Times New Roman"/>
          <w:sz w:val="24"/>
          <w:szCs w:val="24"/>
        </w:rPr>
        <w:t>%</w:t>
      </w:r>
      <w:r w:rsidR="006423E7" w:rsidRPr="00C7692A">
        <w:rPr>
          <w:rFonts w:ascii="Times New Roman" w:hAnsi="Times New Roman" w:cs="Times New Roman"/>
          <w:sz w:val="24"/>
          <w:szCs w:val="24"/>
        </w:rPr>
        <w:t xml:space="preserve"> od ukupnih rashoda</w:t>
      </w:r>
      <w:r w:rsidR="00BB705E" w:rsidRPr="00C7692A">
        <w:rPr>
          <w:rFonts w:ascii="Times New Roman" w:hAnsi="Times New Roman" w:cs="Times New Roman"/>
          <w:sz w:val="24"/>
          <w:szCs w:val="24"/>
        </w:rPr>
        <w:t>)</w:t>
      </w:r>
      <w:r w:rsidRPr="00C7692A">
        <w:rPr>
          <w:rFonts w:ascii="Times New Roman" w:hAnsi="Times New Roman" w:cs="Times New Roman"/>
          <w:sz w:val="24"/>
          <w:szCs w:val="24"/>
        </w:rPr>
        <w:t xml:space="preserve">, </w:t>
      </w:r>
      <w:r w:rsidR="008824AD" w:rsidRPr="00C7692A">
        <w:rPr>
          <w:rFonts w:ascii="Times New Roman" w:hAnsi="Times New Roman" w:cs="Times New Roman"/>
          <w:sz w:val="24"/>
          <w:szCs w:val="24"/>
        </w:rPr>
        <w:t xml:space="preserve">na isplate partnerima na projektima 4,4 </w:t>
      </w:r>
      <w:proofErr w:type="spellStart"/>
      <w:r w:rsidR="008824AD" w:rsidRPr="00C7692A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8824AD" w:rsidRPr="00C7692A">
        <w:rPr>
          <w:rFonts w:ascii="Times New Roman" w:hAnsi="Times New Roman" w:cs="Times New Roman"/>
          <w:sz w:val="24"/>
          <w:szCs w:val="24"/>
        </w:rPr>
        <w:t>. EUR odnosno 2</w:t>
      </w:r>
      <w:r w:rsidR="00F163B2" w:rsidRPr="00C7692A">
        <w:rPr>
          <w:rFonts w:ascii="Times New Roman" w:hAnsi="Times New Roman" w:cs="Times New Roman"/>
          <w:sz w:val="24"/>
          <w:szCs w:val="24"/>
        </w:rPr>
        <w:t>5</w:t>
      </w:r>
      <w:r w:rsidR="008824AD" w:rsidRPr="00C7692A">
        <w:rPr>
          <w:rFonts w:ascii="Times New Roman" w:hAnsi="Times New Roman" w:cs="Times New Roman"/>
          <w:sz w:val="24"/>
          <w:szCs w:val="24"/>
        </w:rPr>
        <w:t xml:space="preserve">% ukupnih rashoda </w:t>
      </w:r>
      <w:r w:rsidRPr="00C7692A">
        <w:rPr>
          <w:rFonts w:ascii="Times New Roman" w:hAnsi="Times New Roman" w:cs="Times New Roman"/>
          <w:sz w:val="24"/>
          <w:szCs w:val="24"/>
        </w:rPr>
        <w:t>te na rashode za nabavu dugotrajne imovine (</w:t>
      </w:r>
      <w:r w:rsidR="008824AD" w:rsidRPr="00C7692A">
        <w:rPr>
          <w:rFonts w:ascii="Times New Roman" w:hAnsi="Times New Roman" w:cs="Times New Roman"/>
          <w:sz w:val="24"/>
          <w:szCs w:val="24"/>
        </w:rPr>
        <w:t>382</w:t>
      </w:r>
      <w:r w:rsidR="00E02259" w:rsidRPr="00C76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92A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Pr="00C7692A">
        <w:rPr>
          <w:rFonts w:ascii="Times New Roman" w:hAnsi="Times New Roman" w:cs="Times New Roman"/>
          <w:sz w:val="24"/>
          <w:szCs w:val="24"/>
        </w:rPr>
        <w:t xml:space="preserve"> EUR odnosno </w:t>
      </w:r>
      <w:r w:rsidR="008824AD" w:rsidRPr="00C7692A">
        <w:rPr>
          <w:rFonts w:ascii="Times New Roman" w:hAnsi="Times New Roman" w:cs="Times New Roman"/>
          <w:sz w:val="24"/>
          <w:szCs w:val="24"/>
        </w:rPr>
        <w:t>2</w:t>
      </w:r>
      <w:r w:rsidRPr="00C7692A">
        <w:rPr>
          <w:rFonts w:ascii="Times New Roman" w:hAnsi="Times New Roman" w:cs="Times New Roman"/>
          <w:sz w:val="24"/>
          <w:szCs w:val="24"/>
        </w:rPr>
        <w:t>%</w:t>
      </w:r>
      <w:r w:rsidR="006423E7" w:rsidRPr="00C7692A">
        <w:rPr>
          <w:rFonts w:ascii="Times New Roman" w:hAnsi="Times New Roman" w:cs="Times New Roman"/>
          <w:sz w:val="24"/>
          <w:szCs w:val="24"/>
        </w:rPr>
        <w:t xml:space="preserve"> od ukupnih </w:t>
      </w:r>
      <w:r w:rsidR="00340357" w:rsidRPr="00C7692A">
        <w:rPr>
          <w:rFonts w:ascii="Times New Roman" w:hAnsi="Times New Roman" w:cs="Times New Roman"/>
          <w:sz w:val="24"/>
          <w:szCs w:val="24"/>
        </w:rPr>
        <w:t>r</w:t>
      </w:r>
      <w:r w:rsidR="006423E7" w:rsidRPr="00C7692A">
        <w:rPr>
          <w:rFonts w:ascii="Times New Roman" w:hAnsi="Times New Roman" w:cs="Times New Roman"/>
          <w:sz w:val="24"/>
          <w:szCs w:val="24"/>
        </w:rPr>
        <w:t>ashoda</w:t>
      </w:r>
      <w:r w:rsidRPr="00C7692A">
        <w:rPr>
          <w:rFonts w:ascii="Times New Roman" w:hAnsi="Times New Roman" w:cs="Times New Roman"/>
          <w:sz w:val="24"/>
          <w:szCs w:val="24"/>
        </w:rPr>
        <w:t>).</w:t>
      </w:r>
      <w:r w:rsidR="00F163B2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>Ostalo se odnosi na financijske rashode</w:t>
      </w:r>
      <w:r w:rsidR="00F163B2" w:rsidRPr="00C7692A">
        <w:rPr>
          <w:rFonts w:ascii="Times New Roman" w:hAnsi="Times New Roman" w:cs="Times New Roman"/>
          <w:sz w:val="24"/>
          <w:szCs w:val="24"/>
        </w:rPr>
        <w:t>.</w:t>
      </w:r>
    </w:p>
    <w:p w14:paraId="4AC861AF" w14:textId="77777777" w:rsidR="00662506" w:rsidRPr="00C7692A" w:rsidRDefault="00662506" w:rsidP="00061A4D">
      <w:pPr>
        <w:spacing w:after="44"/>
        <w:ind w:left="38" w:right="14"/>
        <w:rPr>
          <w:rFonts w:ascii="Times New Roman" w:hAnsi="Times New Roman" w:cs="Times New Roman"/>
          <w:b/>
          <w:sz w:val="24"/>
          <w:szCs w:val="24"/>
        </w:rPr>
      </w:pPr>
    </w:p>
    <w:p w14:paraId="0458481A" w14:textId="4C58D7C8" w:rsidR="00061A4D" w:rsidRPr="00C7692A" w:rsidRDefault="00061A4D" w:rsidP="006423E7">
      <w:pPr>
        <w:spacing w:after="44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b/>
          <w:sz w:val="24"/>
          <w:szCs w:val="24"/>
        </w:rPr>
        <w:t>(konta skupine 31)</w:t>
      </w:r>
      <w:r w:rsidRPr="00C7692A">
        <w:rPr>
          <w:rFonts w:ascii="Times New Roman" w:hAnsi="Times New Roman" w:cs="Times New Roman"/>
          <w:sz w:val="24"/>
          <w:szCs w:val="24"/>
        </w:rPr>
        <w:t xml:space="preserve"> financirat će se najvećim dijelom iz sredstava državnog proračuna (</w:t>
      </w:r>
      <w:r w:rsidR="008130BD" w:rsidRPr="00C7692A">
        <w:rPr>
          <w:rFonts w:ascii="Times New Roman" w:hAnsi="Times New Roman" w:cs="Times New Roman"/>
          <w:sz w:val="24"/>
          <w:szCs w:val="24"/>
        </w:rPr>
        <w:t>6</w:t>
      </w:r>
      <w:r w:rsidR="0029476B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Pr="00C7692A">
        <w:rPr>
          <w:rFonts w:ascii="Times New Roman" w:hAnsi="Times New Roman" w:cs="Times New Roman"/>
          <w:sz w:val="24"/>
          <w:szCs w:val="24"/>
        </w:rPr>
        <w:t xml:space="preserve"> %), dok će se </w:t>
      </w:r>
      <w:r w:rsidR="008130BD" w:rsidRPr="00C7692A">
        <w:rPr>
          <w:rFonts w:ascii="Times New Roman" w:hAnsi="Times New Roman" w:cs="Times New Roman"/>
          <w:sz w:val="24"/>
          <w:szCs w:val="24"/>
        </w:rPr>
        <w:t>2</w:t>
      </w:r>
      <w:r w:rsidR="00826E24" w:rsidRPr="00C7692A">
        <w:rPr>
          <w:rFonts w:ascii="Times New Roman" w:hAnsi="Times New Roman" w:cs="Times New Roman"/>
          <w:sz w:val="24"/>
          <w:szCs w:val="24"/>
        </w:rPr>
        <w:t>4</w:t>
      </w:r>
      <w:r w:rsidRPr="00C7692A">
        <w:rPr>
          <w:rFonts w:ascii="Times New Roman" w:hAnsi="Times New Roman" w:cs="Times New Roman"/>
          <w:sz w:val="24"/>
          <w:szCs w:val="24"/>
        </w:rPr>
        <w:t xml:space="preserve">%  financirati iz izvora 43 (školarine), a ostatak iz Hrvatske zaklade za znanost, </w:t>
      </w:r>
      <w:r w:rsidR="00AC3E27" w:rsidRPr="00C7692A">
        <w:rPr>
          <w:rFonts w:ascii="Times New Roman" w:hAnsi="Times New Roman" w:cs="Times New Roman"/>
          <w:sz w:val="24"/>
          <w:szCs w:val="24"/>
        </w:rPr>
        <w:t>EU</w:t>
      </w:r>
      <w:r w:rsidRPr="00C7692A">
        <w:rPr>
          <w:rFonts w:ascii="Times New Roman" w:hAnsi="Times New Roman" w:cs="Times New Roman"/>
          <w:sz w:val="24"/>
          <w:szCs w:val="24"/>
        </w:rPr>
        <w:t xml:space="preserve"> projekata</w:t>
      </w:r>
      <w:r w:rsidR="000A2D21">
        <w:rPr>
          <w:rFonts w:ascii="Times New Roman" w:hAnsi="Times New Roman" w:cs="Times New Roman"/>
          <w:sz w:val="24"/>
          <w:szCs w:val="24"/>
        </w:rPr>
        <w:t xml:space="preserve"> te </w:t>
      </w:r>
      <w:r w:rsidRPr="00C7692A">
        <w:rPr>
          <w:rFonts w:ascii="Times New Roman" w:hAnsi="Times New Roman" w:cs="Times New Roman"/>
          <w:sz w:val="24"/>
          <w:szCs w:val="24"/>
        </w:rPr>
        <w:t>vlastitih prihoda.</w:t>
      </w:r>
    </w:p>
    <w:p w14:paraId="49D2B289" w14:textId="77777777" w:rsidR="00AC3E27" w:rsidRPr="00C7692A" w:rsidRDefault="00061A4D" w:rsidP="006423E7">
      <w:pPr>
        <w:spacing w:after="21" w:line="252" w:lineRule="auto"/>
        <w:ind w:left="28" w:right="67" w:firstLine="10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lastRenderedPageBreak/>
        <w:t>Rashodi za zaposlene iz proračunskih sredstava</w:t>
      </w:r>
      <w:r w:rsidR="00AC3E27" w:rsidRPr="00C7692A">
        <w:rPr>
          <w:rFonts w:ascii="Times New Roman" w:hAnsi="Times New Roman" w:cs="Times New Roman"/>
          <w:sz w:val="24"/>
          <w:szCs w:val="24"/>
        </w:rPr>
        <w:t xml:space="preserve"> planirani su temeljem limita dobivenog iz Sveučilišta u Splitu. </w:t>
      </w:r>
      <w:r w:rsidRPr="00C7692A">
        <w:rPr>
          <w:rFonts w:ascii="Times New Roman" w:hAnsi="Times New Roman" w:cs="Times New Roman"/>
          <w:sz w:val="24"/>
          <w:szCs w:val="24"/>
        </w:rPr>
        <w:t xml:space="preserve">Planirana su i materijalna prava zaposlenika prema Temeljnom kolektivnom ugovoru za javne službe. </w:t>
      </w:r>
    </w:p>
    <w:p w14:paraId="3318083D" w14:textId="77777777" w:rsidR="00061A4D" w:rsidRPr="00C7692A" w:rsidRDefault="00061A4D" w:rsidP="006423E7">
      <w:pPr>
        <w:spacing w:after="21" w:line="252" w:lineRule="auto"/>
        <w:ind w:left="28" w:right="67" w:firstLine="10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Iz namjenskih prihoda planira se financirati dio zaposlenika koji se ne financiraju iz Državnog proračuna, uvećanje plaće pomoćnicima dekana, voditeljima studija, prekovremeni rad, rad na </w:t>
      </w:r>
      <w:r w:rsidR="006423E7" w:rsidRPr="00C7692A">
        <w:rPr>
          <w:rFonts w:ascii="Times New Roman" w:hAnsi="Times New Roman" w:cs="Times New Roman"/>
          <w:sz w:val="24"/>
          <w:szCs w:val="24"/>
        </w:rPr>
        <w:t>s</w:t>
      </w:r>
      <w:r w:rsidRPr="00C7692A">
        <w:rPr>
          <w:rFonts w:ascii="Times New Roman" w:hAnsi="Times New Roman" w:cs="Times New Roman"/>
          <w:sz w:val="24"/>
          <w:szCs w:val="24"/>
        </w:rPr>
        <w:t xml:space="preserve">tudiju </w:t>
      </w:r>
      <w:r w:rsidR="006423E7" w:rsidRPr="00C7692A">
        <w:rPr>
          <w:rFonts w:ascii="Times New Roman" w:hAnsi="Times New Roman" w:cs="Times New Roman"/>
          <w:sz w:val="24"/>
          <w:szCs w:val="24"/>
        </w:rPr>
        <w:t>M</w:t>
      </w:r>
      <w:r w:rsidRPr="00C7692A">
        <w:rPr>
          <w:rFonts w:ascii="Times New Roman" w:hAnsi="Times New Roman" w:cs="Times New Roman"/>
          <w:sz w:val="24"/>
          <w:szCs w:val="24"/>
        </w:rPr>
        <w:t>edicin</w:t>
      </w:r>
      <w:r w:rsidR="006423E7" w:rsidRPr="00C7692A">
        <w:rPr>
          <w:rFonts w:ascii="Times New Roman" w:hAnsi="Times New Roman" w:cs="Times New Roman"/>
          <w:sz w:val="24"/>
          <w:szCs w:val="24"/>
        </w:rPr>
        <w:t>a</w:t>
      </w:r>
      <w:r w:rsidRPr="00C7692A">
        <w:rPr>
          <w:rFonts w:ascii="Times New Roman" w:hAnsi="Times New Roman" w:cs="Times New Roman"/>
          <w:sz w:val="24"/>
          <w:szCs w:val="24"/>
        </w:rPr>
        <w:t xml:space="preserve"> na engleskom jeziku</w:t>
      </w:r>
      <w:r w:rsidR="002B2C1E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 xml:space="preserve">te dodatak na plaću zaposlenicima za </w:t>
      </w:r>
      <w:r w:rsidR="002B2C1E" w:rsidRPr="00C7692A">
        <w:rPr>
          <w:rFonts w:ascii="Times New Roman" w:hAnsi="Times New Roman" w:cs="Times New Roman"/>
          <w:sz w:val="24"/>
          <w:szCs w:val="24"/>
        </w:rPr>
        <w:t xml:space="preserve">rad na tržištu, </w:t>
      </w:r>
      <w:r w:rsidR="006423E7" w:rsidRPr="00C7692A">
        <w:rPr>
          <w:rFonts w:ascii="Times New Roman" w:hAnsi="Times New Roman" w:cs="Times New Roman"/>
          <w:sz w:val="24"/>
          <w:szCs w:val="24"/>
        </w:rPr>
        <w:t xml:space="preserve">nagrade </w:t>
      </w:r>
      <w:r w:rsidR="002B2C1E" w:rsidRPr="00C7692A">
        <w:rPr>
          <w:rFonts w:ascii="Times New Roman" w:hAnsi="Times New Roman" w:cs="Times New Roman"/>
          <w:sz w:val="24"/>
          <w:szCs w:val="24"/>
        </w:rPr>
        <w:t xml:space="preserve">za </w:t>
      </w:r>
      <w:r w:rsidRPr="00C7692A">
        <w:rPr>
          <w:rFonts w:ascii="Times New Roman" w:hAnsi="Times New Roman" w:cs="Times New Roman"/>
          <w:sz w:val="24"/>
          <w:szCs w:val="24"/>
        </w:rPr>
        <w:t xml:space="preserve">radne rezultate temeljem uspješnosti u poslovanju, kao i </w:t>
      </w:r>
      <w:r w:rsidR="006423E7" w:rsidRPr="00C7692A">
        <w:rPr>
          <w:rFonts w:ascii="Times New Roman" w:hAnsi="Times New Roman" w:cs="Times New Roman"/>
          <w:sz w:val="24"/>
          <w:szCs w:val="24"/>
        </w:rPr>
        <w:t>nagrade</w:t>
      </w:r>
      <w:r w:rsidRPr="00C7692A">
        <w:rPr>
          <w:rFonts w:ascii="Times New Roman" w:hAnsi="Times New Roman" w:cs="Times New Roman"/>
          <w:sz w:val="24"/>
          <w:szCs w:val="24"/>
        </w:rPr>
        <w:t xml:space="preserve"> zaposleni</w:t>
      </w:r>
      <w:r w:rsidR="006423E7" w:rsidRPr="00C7692A">
        <w:rPr>
          <w:rFonts w:ascii="Times New Roman" w:hAnsi="Times New Roman" w:cs="Times New Roman"/>
          <w:sz w:val="24"/>
          <w:szCs w:val="24"/>
        </w:rPr>
        <w:t>cima</w:t>
      </w:r>
      <w:r w:rsidRPr="00C7692A">
        <w:rPr>
          <w:rFonts w:ascii="Times New Roman" w:hAnsi="Times New Roman" w:cs="Times New Roman"/>
          <w:sz w:val="24"/>
          <w:szCs w:val="24"/>
        </w:rPr>
        <w:t xml:space="preserve"> za izvrsnost i natprosječnost u obavljanju poslova</w:t>
      </w:r>
      <w:r w:rsidR="002B2C1E" w:rsidRPr="00C7692A">
        <w:rPr>
          <w:rFonts w:ascii="Times New Roman" w:hAnsi="Times New Roman" w:cs="Times New Roman"/>
          <w:sz w:val="24"/>
          <w:szCs w:val="24"/>
        </w:rPr>
        <w:t>.</w:t>
      </w:r>
      <w:r w:rsidR="00955BA8" w:rsidRPr="00C76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0D72A" w14:textId="0688F0F5" w:rsidR="00061A4D" w:rsidRPr="00C7692A" w:rsidRDefault="00061A4D" w:rsidP="008130BD">
      <w:pPr>
        <w:spacing w:after="40"/>
        <w:ind w:left="38" w:right="72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Za 202</w:t>
      </w:r>
      <w:r w:rsidR="009C6889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. rashodi grupe 31 koji će se financirati iz državnog proračuna planirani</w:t>
      </w:r>
      <w:r w:rsidR="00A8762C" w:rsidRPr="00C7692A">
        <w:rPr>
          <w:rFonts w:ascii="Times New Roman" w:hAnsi="Times New Roman" w:cs="Times New Roman"/>
          <w:sz w:val="24"/>
          <w:szCs w:val="24"/>
        </w:rPr>
        <w:t xml:space="preserve"> su</w:t>
      </w:r>
      <w:r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A8762C" w:rsidRPr="00C7692A">
        <w:rPr>
          <w:rFonts w:ascii="Times New Roman" w:hAnsi="Times New Roman" w:cs="Times New Roman"/>
          <w:sz w:val="24"/>
          <w:szCs w:val="24"/>
        </w:rPr>
        <w:t xml:space="preserve">temeljem limita iz MZO, </w:t>
      </w:r>
      <w:r w:rsidRPr="00C7692A">
        <w:rPr>
          <w:rFonts w:ascii="Times New Roman" w:hAnsi="Times New Roman" w:cs="Times New Roman"/>
          <w:sz w:val="24"/>
          <w:szCs w:val="24"/>
        </w:rPr>
        <w:t xml:space="preserve"> te se projekcije za 202</w:t>
      </w:r>
      <w:r w:rsidR="009C6889" w:rsidRPr="00C7692A">
        <w:rPr>
          <w:rFonts w:ascii="Times New Roman" w:hAnsi="Times New Roman" w:cs="Times New Roman"/>
          <w:sz w:val="24"/>
          <w:szCs w:val="24"/>
        </w:rPr>
        <w:t>6</w:t>
      </w:r>
      <w:r w:rsidRPr="00C7692A">
        <w:rPr>
          <w:rFonts w:ascii="Times New Roman" w:hAnsi="Times New Roman" w:cs="Times New Roman"/>
          <w:sz w:val="24"/>
          <w:szCs w:val="24"/>
        </w:rPr>
        <w:t>. i 202</w:t>
      </w:r>
      <w:r w:rsidR="009C6889" w:rsidRPr="00C7692A">
        <w:rPr>
          <w:rFonts w:ascii="Times New Roman" w:hAnsi="Times New Roman" w:cs="Times New Roman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 xml:space="preserve">. godinu zadržavaju na </w:t>
      </w:r>
      <w:r w:rsidR="001759AB" w:rsidRPr="00C7692A">
        <w:rPr>
          <w:rFonts w:ascii="Times New Roman" w:hAnsi="Times New Roman" w:cs="Times New Roman"/>
          <w:sz w:val="24"/>
          <w:szCs w:val="24"/>
        </w:rPr>
        <w:t xml:space="preserve">približno </w:t>
      </w:r>
      <w:r w:rsidRPr="00C7692A">
        <w:rPr>
          <w:rFonts w:ascii="Times New Roman" w:hAnsi="Times New Roman" w:cs="Times New Roman"/>
          <w:sz w:val="24"/>
          <w:szCs w:val="24"/>
        </w:rPr>
        <w:t>istom nivou kao za 202</w:t>
      </w:r>
      <w:r w:rsidR="009C6889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 xml:space="preserve">. godinu. Rashodi za zaposlene financirani iz </w:t>
      </w:r>
      <w:r w:rsidR="00A8762C" w:rsidRPr="00C7692A">
        <w:rPr>
          <w:rFonts w:ascii="Times New Roman" w:hAnsi="Times New Roman" w:cs="Times New Roman"/>
          <w:sz w:val="24"/>
          <w:szCs w:val="24"/>
        </w:rPr>
        <w:t xml:space="preserve">namjenskih i </w:t>
      </w:r>
      <w:r w:rsidRPr="00C7692A">
        <w:rPr>
          <w:rFonts w:ascii="Times New Roman" w:hAnsi="Times New Roman" w:cs="Times New Roman"/>
          <w:sz w:val="24"/>
          <w:szCs w:val="24"/>
        </w:rPr>
        <w:t xml:space="preserve">vlastitih prihoda će se povećavati sukladno povećanju </w:t>
      </w:r>
      <w:r w:rsidR="00A8762C" w:rsidRPr="00C7692A">
        <w:rPr>
          <w:rFonts w:ascii="Times New Roman" w:hAnsi="Times New Roman" w:cs="Times New Roman"/>
          <w:sz w:val="24"/>
          <w:szCs w:val="24"/>
        </w:rPr>
        <w:t>ovih</w:t>
      </w:r>
      <w:r w:rsidRPr="00C7692A">
        <w:rPr>
          <w:rFonts w:ascii="Times New Roman" w:hAnsi="Times New Roman" w:cs="Times New Roman"/>
          <w:sz w:val="24"/>
          <w:szCs w:val="24"/>
        </w:rPr>
        <w:t xml:space="preserve"> prihoda.</w:t>
      </w:r>
    </w:p>
    <w:p w14:paraId="074B3948" w14:textId="3C0AE728" w:rsidR="00061A4D" w:rsidRPr="00C7692A" w:rsidRDefault="00061A4D" w:rsidP="006423E7">
      <w:pPr>
        <w:spacing w:after="46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U podskupini računa 312 za </w:t>
      </w:r>
      <w:r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C6889"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9C6889"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. i 202</w:t>
      </w:r>
      <w:r w:rsidR="009C6889"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 xml:space="preserve">. godinu planirani su rashodi za jubilarne nagrade, darovi za djecu u prigodi dana sv. Nikole, otpremnine i naknade za bolest, invalidnost i smrtni slučaj, kao i neoporezivi dio nagrada za radne rezultate te paušalni troškovi prehrane. </w:t>
      </w:r>
      <w:r w:rsidR="00A8762C" w:rsidRPr="00C7692A">
        <w:rPr>
          <w:rFonts w:ascii="Times New Roman" w:hAnsi="Times New Roman" w:cs="Times New Roman"/>
          <w:sz w:val="24"/>
          <w:szCs w:val="24"/>
        </w:rPr>
        <w:t xml:space="preserve">Navedeno se financira dijelom iz Državnog proračuna </w:t>
      </w:r>
      <w:r w:rsidR="00EA0B7F" w:rsidRPr="00C7692A">
        <w:rPr>
          <w:rFonts w:ascii="Times New Roman" w:hAnsi="Times New Roman" w:cs="Times New Roman"/>
          <w:sz w:val="24"/>
          <w:szCs w:val="24"/>
        </w:rPr>
        <w:t>te</w:t>
      </w:r>
      <w:r w:rsidR="00A8762C" w:rsidRPr="00C7692A">
        <w:rPr>
          <w:rFonts w:ascii="Times New Roman" w:hAnsi="Times New Roman" w:cs="Times New Roman"/>
          <w:sz w:val="24"/>
          <w:szCs w:val="24"/>
        </w:rPr>
        <w:t xml:space="preserve"> dijelom iz </w:t>
      </w:r>
      <w:r w:rsidR="002B6A5F" w:rsidRPr="00C7692A">
        <w:rPr>
          <w:rFonts w:ascii="Times New Roman" w:hAnsi="Times New Roman" w:cs="Times New Roman"/>
          <w:sz w:val="24"/>
          <w:szCs w:val="24"/>
        </w:rPr>
        <w:t xml:space="preserve">vlastitih i namjenskih </w:t>
      </w:r>
      <w:r w:rsidR="00A8762C" w:rsidRPr="00C7692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2B6A5F" w:rsidRPr="00C7692A">
        <w:rPr>
          <w:rFonts w:ascii="Times New Roman" w:hAnsi="Times New Roman" w:cs="Times New Roman"/>
          <w:sz w:val="24"/>
          <w:szCs w:val="24"/>
        </w:rPr>
        <w:t>(</w:t>
      </w:r>
      <w:r w:rsidR="00A8762C" w:rsidRPr="00C7692A">
        <w:rPr>
          <w:rFonts w:ascii="Times New Roman" w:hAnsi="Times New Roman" w:cs="Times New Roman"/>
          <w:sz w:val="24"/>
          <w:szCs w:val="24"/>
        </w:rPr>
        <w:t>školarin</w:t>
      </w:r>
      <w:r w:rsidR="002B6A5F" w:rsidRPr="00C7692A">
        <w:rPr>
          <w:rFonts w:ascii="Times New Roman" w:hAnsi="Times New Roman" w:cs="Times New Roman"/>
          <w:sz w:val="24"/>
          <w:szCs w:val="24"/>
        </w:rPr>
        <w:t>e)</w:t>
      </w:r>
      <w:r w:rsidR="00A8762C" w:rsidRPr="00C7692A">
        <w:rPr>
          <w:rFonts w:ascii="Times New Roman" w:hAnsi="Times New Roman" w:cs="Times New Roman"/>
          <w:sz w:val="24"/>
          <w:szCs w:val="24"/>
        </w:rPr>
        <w:t>.</w:t>
      </w:r>
    </w:p>
    <w:p w14:paraId="6BE13C85" w14:textId="36236022" w:rsidR="00061A4D" w:rsidRPr="00C7692A" w:rsidRDefault="00061A4D" w:rsidP="006423E7">
      <w:pPr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Troškovi prijevoza na rad i s rada za zaposlenike planirani su u skladu s postojećim stanjem zaposlenih te planiranim novim zapošljavanjem</w:t>
      </w:r>
      <w:r w:rsidR="006423E7" w:rsidRPr="00C7692A">
        <w:rPr>
          <w:rFonts w:ascii="Times New Roman" w:hAnsi="Times New Roman" w:cs="Times New Roman"/>
          <w:sz w:val="24"/>
          <w:szCs w:val="24"/>
        </w:rPr>
        <w:t xml:space="preserve"> te se financiraju dijelom iz državnog proračuna</w:t>
      </w:r>
      <w:r w:rsidR="00BB705E" w:rsidRPr="00C7692A">
        <w:rPr>
          <w:rFonts w:ascii="Times New Roman" w:hAnsi="Times New Roman" w:cs="Times New Roman"/>
          <w:sz w:val="24"/>
          <w:szCs w:val="24"/>
        </w:rPr>
        <w:t>,</w:t>
      </w:r>
      <w:r w:rsidR="006423E7" w:rsidRPr="00C7692A">
        <w:rPr>
          <w:rFonts w:ascii="Times New Roman" w:hAnsi="Times New Roman" w:cs="Times New Roman"/>
          <w:sz w:val="24"/>
          <w:szCs w:val="24"/>
        </w:rPr>
        <w:t xml:space="preserve"> a dijelom iz vlastitih i namjenskih sredstava</w:t>
      </w:r>
      <w:r w:rsidRPr="00C769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BB174" w14:textId="77777777" w:rsidR="002B2C1E" w:rsidRPr="00C7692A" w:rsidRDefault="002B2C1E" w:rsidP="006423E7">
      <w:pPr>
        <w:spacing w:after="21" w:line="252" w:lineRule="auto"/>
        <w:ind w:left="28" w:right="67" w:firstLine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Materijalni rashodi (konta skupine 32)</w:t>
      </w:r>
    </w:p>
    <w:p w14:paraId="6806E345" w14:textId="75E85BE6" w:rsidR="00061A4D" w:rsidRPr="00C7692A" w:rsidRDefault="00061A4D" w:rsidP="009C6889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Ukupni materijalni rashodi (grupa 32) planirani su na razini procjene</w:t>
      </w:r>
      <w:r w:rsidR="009C6889" w:rsidRPr="00C7692A">
        <w:rPr>
          <w:rFonts w:ascii="Times New Roman" w:hAnsi="Times New Roman" w:cs="Times New Roman"/>
          <w:sz w:val="24"/>
          <w:szCs w:val="24"/>
        </w:rPr>
        <w:t xml:space="preserve"> očekivanog</w:t>
      </w:r>
      <w:r w:rsidRPr="00C7692A">
        <w:rPr>
          <w:rFonts w:ascii="Times New Roman" w:hAnsi="Times New Roman" w:cs="Times New Roman"/>
          <w:sz w:val="24"/>
          <w:szCs w:val="24"/>
        </w:rPr>
        <w:t xml:space="preserve"> ostvaren</w:t>
      </w:r>
      <w:r w:rsidR="009C6889" w:rsidRPr="00C7692A">
        <w:rPr>
          <w:rFonts w:ascii="Times New Roman" w:hAnsi="Times New Roman" w:cs="Times New Roman"/>
          <w:sz w:val="24"/>
          <w:szCs w:val="24"/>
        </w:rPr>
        <w:t>ja</w:t>
      </w:r>
      <w:r w:rsidRPr="00C7692A">
        <w:rPr>
          <w:rFonts w:ascii="Times New Roman" w:hAnsi="Times New Roman" w:cs="Times New Roman"/>
          <w:sz w:val="24"/>
          <w:szCs w:val="24"/>
        </w:rPr>
        <w:t xml:space="preserve"> rashoda</w:t>
      </w:r>
      <w:r w:rsidR="009C6889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A8762C" w:rsidRPr="00C7692A">
        <w:rPr>
          <w:rFonts w:ascii="Times New Roman" w:eastAsia="Courier New" w:hAnsi="Times New Roman" w:cs="Times New Roman"/>
          <w:sz w:val="24"/>
          <w:szCs w:val="24"/>
        </w:rPr>
        <w:t>sa uvećanjem za rashode potrebne za realizaciju projekata koji su u tijeku.</w:t>
      </w:r>
    </w:p>
    <w:p w14:paraId="6B49B371" w14:textId="62246711" w:rsidR="00061A4D" w:rsidRPr="00C7692A" w:rsidRDefault="00061A4D" w:rsidP="006423E7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Rashodi koji će se financirati iz proračuna planirani su </w:t>
      </w:r>
      <w:r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za 202</w:t>
      </w:r>
      <w:r w:rsidR="009C6889"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9C6889"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. i 202</w:t>
      </w:r>
      <w:r w:rsidR="009C6889" w:rsidRPr="00C769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7692A">
        <w:rPr>
          <w:rFonts w:ascii="Times New Roman" w:hAnsi="Times New Roman" w:cs="Times New Roman"/>
          <w:sz w:val="24"/>
          <w:szCs w:val="24"/>
        </w:rPr>
        <w:t>. godinu u zadanim limitima.</w:t>
      </w:r>
    </w:p>
    <w:p w14:paraId="0575ED0A" w14:textId="77777777" w:rsidR="00061A4D" w:rsidRPr="00C7692A" w:rsidRDefault="00061A4D" w:rsidP="006423E7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Budući da predloženi limiti za financiranje redovne djelatnosti iz proračuna nisu dovoljni za pokriće ukupnih troškova obavljanja redovne djelatnosti Fakulteta, u planu je predviđeno da se manjak prihoda iz proračuna za troškove poslovanja grupe 32 podmiri iz </w:t>
      </w:r>
      <w:r w:rsidR="002B6A5F" w:rsidRPr="00C7692A">
        <w:rPr>
          <w:rFonts w:ascii="Times New Roman" w:hAnsi="Times New Roman" w:cs="Times New Roman"/>
          <w:sz w:val="24"/>
          <w:szCs w:val="24"/>
        </w:rPr>
        <w:t xml:space="preserve">vlastitih i </w:t>
      </w:r>
      <w:r w:rsidRPr="00C7692A">
        <w:rPr>
          <w:rFonts w:ascii="Times New Roman" w:hAnsi="Times New Roman" w:cs="Times New Roman"/>
          <w:sz w:val="24"/>
          <w:szCs w:val="24"/>
        </w:rPr>
        <w:t>namjenskih prihoda.</w:t>
      </w:r>
    </w:p>
    <w:p w14:paraId="18135D32" w14:textId="59314F7E" w:rsidR="00061A4D" w:rsidRPr="00C7692A" w:rsidRDefault="00061A4D" w:rsidP="006423E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C7692A">
        <w:rPr>
          <w:rFonts w:ascii="Times New Roman" w:hAnsi="Times New Roman" w:cs="Times New Roman"/>
          <w:sz w:val="24"/>
          <w:szCs w:val="24"/>
        </w:rPr>
        <w:t>Planirane intelektualne i osobne usluge (konto 3237</w:t>
      </w:r>
      <w:r w:rsidR="00786576" w:rsidRPr="00C7692A">
        <w:rPr>
          <w:rFonts w:ascii="Times New Roman" w:hAnsi="Times New Roman" w:cs="Times New Roman"/>
          <w:sz w:val="24"/>
          <w:szCs w:val="24"/>
        </w:rPr>
        <w:t xml:space="preserve"> u vis</w:t>
      </w:r>
      <w:r w:rsidR="00AC17FA" w:rsidRPr="00C7692A">
        <w:rPr>
          <w:rFonts w:ascii="Times New Roman" w:hAnsi="Times New Roman" w:cs="Times New Roman"/>
          <w:sz w:val="24"/>
          <w:szCs w:val="24"/>
        </w:rPr>
        <w:t>i</w:t>
      </w:r>
      <w:r w:rsidR="00786576" w:rsidRPr="00C7692A">
        <w:rPr>
          <w:rFonts w:ascii="Times New Roman" w:hAnsi="Times New Roman" w:cs="Times New Roman"/>
          <w:sz w:val="24"/>
          <w:szCs w:val="24"/>
        </w:rPr>
        <w:t xml:space="preserve">ni </w:t>
      </w:r>
      <w:r w:rsidR="009C6889" w:rsidRPr="00C7692A">
        <w:rPr>
          <w:rFonts w:ascii="Times New Roman" w:hAnsi="Times New Roman" w:cs="Times New Roman"/>
          <w:sz w:val="24"/>
          <w:szCs w:val="24"/>
        </w:rPr>
        <w:t>901</w:t>
      </w:r>
      <w:r w:rsidR="00786576" w:rsidRPr="00C7692A">
        <w:rPr>
          <w:rFonts w:ascii="Times New Roman" w:hAnsi="Times New Roman" w:cs="Times New Roman"/>
          <w:sz w:val="24"/>
          <w:szCs w:val="24"/>
        </w:rPr>
        <w:t xml:space="preserve"> tis</w:t>
      </w:r>
      <w:r w:rsidR="00AC17FA" w:rsidRPr="00C7692A">
        <w:rPr>
          <w:rFonts w:ascii="Times New Roman" w:hAnsi="Times New Roman" w:cs="Times New Roman"/>
          <w:sz w:val="24"/>
          <w:szCs w:val="24"/>
        </w:rPr>
        <w:t>.</w:t>
      </w:r>
      <w:r w:rsidR="00786576" w:rsidRPr="00C7692A">
        <w:rPr>
          <w:rFonts w:ascii="Times New Roman" w:hAnsi="Times New Roman" w:cs="Times New Roman"/>
          <w:sz w:val="24"/>
          <w:szCs w:val="24"/>
        </w:rPr>
        <w:t xml:space="preserve"> EUR</w:t>
      </w:r>
      <w:r w:rsidRPr="00C7692A">
        <w:rPr>
          <w:rFonts w:ascii="Times New Roman" w:hAnsi="Times New Roman" w:cs="Times New Roman"/>
          <w:sz w:val="24"/>
          <w:szCs w:val="24"/>
        </w:rPr>
        <w:t xml:space="preserve">) najvećim dijelom se odnose na troškove vanjskih suradnika </w:t>
      </w:r>
      <w:r w:rsidR="006C3253" w:rsidRPr="00C7692A">
        <w:rPr>
          <w:rFonts w:ascii="Times New Roman" w:hAnsi="Times New Roman" w:cs="Times New Roman"/>
          <w:sz w:val="24"/>
          <w:szCs w:val="24"/>
        </w:rPr>
        <w:t xml:space="preserve">(nastavnici na studijima) </w:t>
      </w:r>
      <w:r w:rsidR="00786576" w:rsidRPr="00C7692A">
        <w:rPr>
          <w:rFonts w:ascii="Times New Roman" w:hAnsi="Times New Roman" w:cs="Times New Roman"/>
          <w:sz w:val="24"/>
          <w:szCs w:val="24"/>
        </w:rPr>
        <w:t>dok se ostalo odnosi na</w:t>
      </w:r>
      <w:r w:rsidR="0038493D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6C6845" w:rsidRPr="00C7692A">
        <w:rPr>
          <w:rFonts w:ascii="Times New Roman" w:hAnsi="Times New Roman" w:cs="Times New Roman"/>
          <w:sz w:val="24"/>
          <w:szCs w:val="24"/>
        </w:rPr>
        <w:t>ostale intelektualne usluge na projekt</w:t>
      </w:r>
      <w:r w:rsidR="00C92CFE" w:rsidRPr="00C7692A">
        <w:rPr>
          <w:rFonts w:ascii="Times New Roman" w:hAnsi="Times New Roman" w:cs="Times New Roman"/>
          <w:sz w:val="24"/>
          <w:szCs w:val="24"/>
        </w:rPr>
        <w:t>u Roche</w:t>
      </w:r>
      <w:r w:rsidR="0038493D" w:rsidRPr="00C7692A">
        <w:rPr>
          <w:rFonts w:ascii="Times New Roman" w:hAnsi="Times New Roman" w:cs="Times New Roman"/>
          <w:sz w:val="24"/>
          <w:szCs w:val="24"/>
        </w:rPr>
        <w:t xml:space="preserve">, </w:t>
      </w:r>
      <w:r w:rsidR="00786576" w:rsidRPr="00C7692A">
        <w:rPr>
          <w:rFonts w:ascii="Times New Roman" w:hAnsi="Times New Roman" w:cs="Times New Roman"/>
          <w:sz w:val="24"/>
          <w:szCs w:val="24"/>
        </w:rPr>
        <w:t xml:space="preserve">usluge nastave koja se održava u Klinici </w:t>
      </w:r>
      <w:proofErr w:type="spellStart"/>
      <w:r w:rsidR="00786576" w:rsidRPr="00C7692A">
        <w:rPr>
          <w:rFonts w:ascii="Times New Roman" w:hAnsi="Times New Roman" w:cs="Times New Roman"/>
          <w:sz w:val="24"/>
          <w:szCs w:val="24"/>
        </w:rPr>
        <w:t>Regiomed</w:t>
      </w:r>
      <w:proofErr w:type="spellEnd"/>
      <w:r w:rsidR="00786576" w:rsidRPr="00C769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6576" w:rsidRPr="00C7692A">
        <w:rPr>
          <w:rFonts w:ascii="Times New Roman" w:hAnsi="Times New Roman" w:cs="Times New Roman"/>
          <w:sz w:val="24"/>
          <w:szCs w:val="24"/>
        </w:rPr>
        <w:t>Coburgu</w:t>
      </w:r>
      <w:proofErr w:type="spellEnd"/>
      <w:r w:rsidR="00786576" w:rsidRPr="00C7692A">
        <w:rPr>
          <w:rFonts w:ascii="Times New Roman" w:hAnsi="Times New Roman" w:cs="Times New Roman"/>
          <w:sz w:val="24"/>
          <w:szCs w:val="24"/>
        </w:rPr>
        <w:t xml:space="preserve"> u Njemačkoj, </w:t>
      </w:r>
      <w:r w:rsidR="0038493D" w:rsidRPr="00C7692A">
        <w:rPr>
          <w:rFonts w:ascii="Times New Roman" w:hAnsi="Times New Roman" w:cs="Times New Roman"/>
          <w:sz w:val="24"/>
          <w:szCs w:val="24"/>
        </w:rPr>
        <w:t xml:space="preserve">studentske ugovore </w:t>
      </w:r>
      <w:r w:rsidR="00786576" w:rsidRPr="00C7692A">
        <w:rPr>
          <w:rFonts w:ascii="Times New Roman" w:hAnsi="Times New Roman" w:cs="Times New Roman"/>
          <w:sz w:val="24"/>
          <w:szCs w:val="24"/>
        </w:rPr>
        <w:t>te autorske honorare</w:t>
      </w:r>
      <w:r w:rsidR="0038493D" w:rsidRPr="00C7692A">
        <w:rPr>
          <w:rFonts w:ascii="Times New Roman" w:hAnsi="Times New Roman" w:cs="Times New Roman"/>
          <w:sz w:val="24"/>
          <w:szCs w:val="24"/>
        </w:rPr>
        <w:t>.</w:t>
      </w:r>
      <w:r w:rsidR="006C6845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6423E7" w:rsidRPr="00C7692A">
        <w:rPr>
          <w:rFonts w:ascii="Times New Roman" w:hAnsi="Times New Roman" w:cs="Times New Roman"/>
          <w:sz w:val="24"/>
          <w:szCs w:val="24"/>
        </w:rPr>
        <w:t>U okviru materijalnih rashoda ovo je najveći pojed</w:t>
      </w:r>
      <w:r w:rsidR="001C2688" w:rsidRPr="00C7692A">
        <w:rPr>
          <w:rFonts w:ascii="Times New Roman" w:hAnsi="Times New Roman" w:cs="Times New Roman"/>
          <w:sz w:val="24"/>
          <w:szCs w:val="24"/>
        </w:rPr>
        <w:t>i</w:t>
      </w:r>
      <w:r w:rsidR="006423E7" w:rsidRPr="00C7692A">
        <w:rPr>
          <w:rFonts w:ascii="Times New Roman" w:hAnsi="Times New Roman" w:cs="Times New Roman"/>
          <w:sz w:val="24"/>
          <w:szCs w:val="24"/>
        </w:rPr>
        <w:t xml:space="preserve">načni trošak </w:t>
      </w:r>
      <w:r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6423E7" w:rsidRPr="00C7692A">
        <w:rPr>
          <w:rFonts w:ascii="Times New Roman" w:hAnsi="Times New Roman" w:cs="Times New Roman"/>
          <w:sz w:val="24"/>
          <w:szCs w:val="24"/>
        </w:rPr>
        <w:t>(</w:t>
      </w:r>
      <w:r w:rsidR="00786576" w:rsidRPr="00C7692A">
        <w:rPr>
          <w:rFonts w:ascii="Times New Roman" w:hAnsi="Times New Roman" w:cs="Times New Roman"/>
          <w:sz w:val="24"/>
          <w:szCs w:val="24"/>
        </w:rPr>
        <w:t>32</w:t>
      </w:r>
      <w:r w:rsidR="006423E7" w:rsidRPr="00C7692A">
        <w:rPr>
          <w:rFonts w:ascii="Times New Roman" w:hAnsi="Times New Roman" w:cs="Times New Roman"/>
          <w:sz w:val="24"/>
          <w:szCs w:val="24"/>
        </w:rPr>
        <w:t>% od ukupnih materijalnih rashoda</w:t>
      </w:r>
      <w:r w:rsidR="00786576" w:rsidRPr="00C7692A">
        <w:rPr>
          <w:rFonts w:ascii="Times New Roman" w:hAnsi="Times New Roman" w:cs="Times New Roman"/>
          <w:sz w:val="24"/>
          <w:szCs w:val="24"/>
        </w:rPr>
        <w:t xml:space="preserve">). Rashodi </w:t>
      </w:r>
      <w:r w:rsidR="006C6845" w:rsidRPr="00C7692A">
        <w:rPr>
          <w:rFonts w:ascii="Times New Roman" w:hAnsi="Times New Roman" w:cs="Times New Roman"/>
          <w:sz w:val="24"/>
          <w:szCs w:val="24"/>
        </w:rPr>
        <w:t xml:space="preserve"> vanjske suradnje u nastavi financiraju </w:t>
      </w:r>
      <w:r w:rsidR="00786576" w:rsidRPr="00C7692A">
        <w:rPr>
          <w:rFonts w:ascii="Times New Roman" w:hAnsi="Times New Roman" w:cs="Times New Roman"/>
          <w:sz w:val="24"/>
          <w:szCs w:val="24"/>
        </w:rPr>
        <w:t xml:space="preserve">se </w:t>
      </w:r>
      <w:r w:rsidR="006C6845" w:rsidRPr="00C7692A">
        <w:rPr>
          <w:rFonts w:ascii="Times New Roman" w:hAnsi="Times New Roman" w:cs="Times New Roman"/>
          <w:sz w:val="24"/>
          <w:szCs w:val="24"/>
        </w:rPr>
        <w:t xml:space="preserve">dijelom iz </w:t>
      </w:r>
      <w:r w:rsidRPr="00C7692A">
        <w:rPr>
          <w:rFonts w:ascii="Times New Roman" w:hAnsi="Times New Roman" w:cs="Times New Roman"/>
          <w:sz w:val="24"/>
          <w:szCs w:val="24"/>
        </w:rPr>
        <w:t>namjenskih prihoda</w:t>
      </w:r>
      <w:r w:rsidR="006C6845" w:rsidRPr="00C7692A">
        <w:rPr>
          <w:rFonts w:ascii="Times New Roman" w:hAnsi="Times New Roman" w:cs="Times New Roman"/>
          <w:sz w:val="24"/>
          <w:szCs w:val="24"/>
        </w:rPr>
        <w:t xml:space="preserve"> te </w:t>
      </w:r>
      <w:r w:rsidR="006423E7" w:rsidRPr="00C7692A">
        <w:rPr>
          <w:rFonts w:ascii="Times New Roman" w:hAnsi="Times New Roman" w:cs="Times New Roman"/>
          <w:sz w:val="24"/>
          <w:szCs w:val="24"/>
        </w:rPr>
        <w:t xml:space="preserve">dijelom </w:t>
      </w:r>
      <w:r w:rsidR="006C6845" w:rsidRPr="00C7692A">
        <w:rPr>
          <w:rFonts w:ascii="Times New Roman" w:hAnsi="Times New Roman" w:cs="Times New Roman"/>
          <w:sz w:val="24"/>
          <w:szCs w:val="24"/>
        </w:rPr>
        <w:t xml:space="preserve">iz </w:t>
      </w:r>
      <w:r w:rsidR="006423E7" w:rsidRPr="00C7692A">
        <w:rPr>
          <w:rFonts w:ascii="Times New Roman" w:hAnsi="Times New Roman" w:cs="Times New Roman"/>
          <w:sz w:val="24"/>
          <w:szCs w:val="24"/>
        </w:rPr>
        <w:t xml:space="preserve">državnog </w:t>
      </w:r>
      <w:r w:rsidR="006C6845" w:rsidRPr="00C7692A">
        <w:rPr>
          <w:rFonts w:ascii="Times New Roman" w:hAnsi="Times New Roman" w:cs="Times New Roman"/>
          <w:sz w:val="24"/>
          <w:szCs w:val="24"/>
        </w:rPr>
        <w:t>proračuna.</w:t>
      </w:r>
      <w:r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786576" w:rsidRPr="00C7692A">
        <w:rPr>
          <w:rFonts w:ascii="Times New Roman" w:hAnsi="Times New Roman" w:cs="Times New Roman"/>
          <w:sz w:val="24"/>
          <w:szCs w:val="24"/>
        </w:rPr>
        <w:t xml:space="preserve">Trenutno nemamo informaciju koliko će iznositi obaveza za usluge nastave koja se održava u Klinici </w:t>
      </w:r>
      <w:proofErr w:type="spellStart"/>
      <w:r w:rsidR="00786576" w:rsidRPr="00C7692A">
        <w:rPr>
          <w:rFonts w:ascii="Times New Roman" w:hAnsi="Times New Roman" w:cs="Times New Roman"/>
          <w:sz w:val="24"/>
          <w:szCs w:val="24"/>
        </w:rPr>
        <w:t>Regiomed</w:t>
      </w:r>
      <w:proofErr w:type="spellEnd"/>
      <w:r w:rsidR="00786576" w:rsidRPr="00C7692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86576" w:rsidRPr="00C7692A">
        <w:rPr>
          <w:rFonts w:ascii="Times New Roman" w:hAnsi="Times New Roman" w:cs="Times New Roman"/>
          <w:sz w:val="24"/>
          <w:szCs w:val="24"/>
        </w:rPr>
        <w:t>Coburgu</w:t>
      </w:r>
      <w:proofErr w:type="spellEnd"/>
      <w:r w:rsidR="00786576" w:rsidRPr="00C7692A">
        <w:rPr>
          <w:rFonts w:ascii="Times New Roman" w:hAnsi="Times New Roman" w:cs="Times New Roman"/>
          <w:sz w:val="24"/>
          <w:szCs w:val="24"/>
        </w:rPr>
        <w:t xml:space="preserve"> budući da je u tijeku revizija postojećeg ugovora sa Klinikom </w:t>
      </w:r>
      <w:proofErr w:type="spellStart"/>
      <w:r w:rsidR="00786576" w:rsidRPr="00C7692A">
        <w:rPr>
          <w:rFonts w:ascii="Times New Roman" w:hAnsi="Times New Roman" w:cs="Times New Roman"/>
          <w:sz w:val="24"/>
          <w:szCs w:val="24"/>
        </w:rPr>
        <w:t>Regiomed</w:t>
      </w:r>
      <w:proofErr w:type="spellEnd"/>
      <w:r w:rsidR="00786576" w:rsidRPr="00C7692A">
        <w:rPr>
          <w:rFonts w:ascii="Times New Roman" w:hAnsi="Times New Roman" w:cs="Times New Roman"/>
          <w:sz w:val="24"/>
          <w:szCs w:val="24"/>
        </w:rPr>
        <w:t>.</w:t>
      </w:r>
    </w:p>
    <w:p w14:paraId="39EB025C" w14:textId="709B665C" w:rsidR="002B6A5F" w:rsidRPr="00C7692A" w:rsidRDefault="00061A4D" w:rsidP="00310E1F">
      <w:pPr>
        <w:spacing w:after="0"/>
        <w:ind w:left="38"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Rashodi za nabavu dugotrajne imovine (</w:t>
      </w:r>
      <w:r w:rsidR="002B2C1E" w:rsidRPr="00C7692A">
        <w:rPr>
          <w:rFonts w:ascii="Times New Roman" w:hAnsi="Times New Roman" w:cs="Times New Roman"/>
          <w:b/>
          <w:sz w:val="24"/>
          <w:szCs w:val="24"/>
        </w:rPr>
        <w:t>konta skupine 42</w:t>
      </w:r>
      <w:r w:rsidRPr="00C7692A">
        <w:rPr>
          <w:rFonts w:ascii="Times New Roman" w:hAnsi="Times New Roman" w:cs="Times New Roman"/>
          <w:sz w:val="24"/>
          <w:szCs w:val="24"/>
        </w:rPr>
        <w:t>) financirat će se</w:t>
      </w:r>
      <w:r w:rsidR="00860432" w:rsidRPr="00C7692A">
        <w:rPr>
          <w:rFonts w:ascii="Times New Roman" w:hAnsi="Times New Roman" w:cs="Times New Roman"/>
          <w:sz w:val="24"/>
          <w:szCs w:val="24"/>
        </w:rPr>
        <w:t xml:space="preserve"> u najvećem dijelu iz vlastitih i namjenskih sredstava, HRZZ</w:t>
      </w:r>
      <w:r w:rsidR="002B6A5F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="006C6845" w:rsidRPr="00C7692A">
        <w:rPr>
          <w:rFonts w:ascii="Times New Roman" w:hAnsi="Times New Roman" w:cs="Times New Roman"/>
          <w:sz w:val="24"/>
          <w:szCs w:val="24"/>
        </w:rPr>
        <w:t xml:space="preserve">projekata, </w:t>
      </w:r>
      <w:r w:rsidRPr="00C7692A">
        <w:rPr>
          <w:rFonts w:ascii="Times New Roman" w:hAnsi="Times New Roman" w:cs="Times New Roman"/>
          <w:sz w:val="24"/>
          <w:szCs w:val="24"/>
        </w:rPr>
        <w:t>sredstava za</w:t>
      </w:r>
      <w:r w:rsidR="002B6A5F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>institucionalno financiranje znanosti</w:t>
      </w:r>
      <w:r w:rsidR="006C6845" w:rsidRPr="00C7692A">
        <w:rPr>
          <w:rFonts w:ascii="Times New Roman" w:hAnsi="Times New Roman" w:cs="Times New Roman"/>
          <w:sz w:val="24"/>
          <w:szCs w:val="24"/>
        </w:rPr>
        <w:t xml:space="preserve"> te </w:t>
      </w:r>
      <w:r w:rsidR="00860432" w:rsidRPr="00C7692A">
        <w:rPr>
          <w:rFonts w:ascii="Times New Roman" w:hAnsi="Times New Roman" w:cs="Times New Roman"/>
          <w:sz w:val="24"/>
          <w:szCs w:val="24"/>
        </w:rPr>
        <w:t>EU projekata.</w:t>
      </w:r>
    </w:p>
    <w:p w14:paraId="7BCCE29E" w14:textId="77777777" w:rsidR="002E20C8" w:rsidRPr="00C7692A" w:rsidRDefault="002E20C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F170C" w14:textId="1C642A69" w:rsidR="00DA46F3" w:rsidRPr="00C7692A" w:rsidRDefault="00DA46F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BCC25" w14:textId="66A3D0BE" w:rsidR="00DA46F3" w:rsidRPr="00C7692A" w:rsidRDefault="00DA46F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0E8B9" w14:textId="77777777" w:rsidR="00A97FD0" w:rsidRPr="00C7692A" w:rsidRDefault="00A97FD0" w:rsidP="00A97F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 (EUR)</w:t>
      </w:r>
    </w:p>
    <w:p w14:paraId="3D924E1D" w14:textId="77777777" w:rsidR="002E20C8" w:rsidRPr="00C7692A" w:rsidRDefault="002E20C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420"/>
        <w:tblW w:w="8692" w:type="dxa"/>
        <w:tblLook w:val="04A0" w:firstRow="1" w:lastRow="0" w:firstColumn="1" w:lastColumn="0" w:noHBand="0" w:noVBand="1"/>
      </w:tblPr>
      <w:tblGrid>
        <w:gridCol w:w="1070"/>
        <w:gridCol w:w="2875"/>
        <w:gridCol w:w="1644"/>
        <w:gridCol w:w="1644"/>
        <w:gridCol w:w="1459"/>
      </w:tblGrid>
      <w:tr w:rsidR="0096117D" w:rsidRPr="00D517DD" w14:paraId="24E45D6A" w14:textId="77777777" w:rsidTr="00952371">
        <w:trPr>
          <w:trHeight w:val="127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C2E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C62A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0FF" w14:textId="77777777" w:rsidR="0096117D" w:rsidRPr="0096117D" w:rsidRDefault="0096117D" w:rsidP="00A50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Prijedlog plana za 2025.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B60" w14:textId="77777777" w:rsidR="0096117D" w:rsidRPr="0096117D" w:rsidRDefault="0096117D" w:rsidP="00A50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Projekcija</w:t>
            </w:r>
            <w:proofErr w:type="spellEnd"/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plana za 2026.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6B91" w14:textId="77777777" w:rsidR="0096117D" w:rsidRPr="0096117D" w:rsidRDefault="0096117D" w:rsidP="00A50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Projekcija</w:t>
            </w:r>
            <w:proofErr w:type="spellEnd"/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plana za 2027.</w:t>
            </w:r>
          </w:p>
        </w:tc>
      </w:tr>
      <w:tr w:rsidR="0096117D" w:rsidRPr="00D517DD" w14:paraId="42A82292" w14:textId="77777777" w:rsidTr="00952371">
        <w:trPr>
          <w:trHeight w:val="67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6C6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DONOS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DC5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PRIJENOS SREDSTAVA IZ PRETHODNE GODINE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E315D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3.186.124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788B9D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3.555.763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90BCCE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3.850.629</w:t>
            </w:r>
          </w:p>
        </w:tc>
      </w:tr>
      <w:tr w:rsidR="0096117D" w:rsidRPr="00D517DD" w14:paraId="3F870029" w14:textId="77777777" w:rsidTr="00952371">
        <w:trPr>
          <w:trHeight w:val="67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EEB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ODNOS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C14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PRIJENOS SREDSTAVA U SLIJEDEĆU GODINU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A47BE3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-3.555.763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31673E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-3.850.629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527CB4" w14:textId="77777777" w:rsidR="0096117D" w:rsidRPr="0096117D" w:rsidRDefault="0096117D" w:rsidP="00A50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61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-4.163.500</w:t>
            </w:r>
          </w:p>
        </w:tc>
      </w:tr>
    </w:tbl>
    <w:p w14:paraId="06B14CC2" w14:textId="3FA7319C" w:rsidR="00852812" w:rsidRPr="00C7692A" w:rsidRDefault="00131EB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6117D">
        <w:rPr>
          <w:rFonts w:ascii="Times New Roman" w:hAnsi="Times New Roman" w:cs="Times New Roman"/>
          <w:sz w:val="24"/>
          <w:szCs w:val="24"/>
        </w:rPr>
        <w:t xml:space="preserve"> </w:t>
      </w:r>
      <w:r w:rsidR="00852812" w:rsidRPr="00C7692A">
        <w:rPr>
          <w:rFonts w:ascii="Times New Roman" w:hAnsi="Times New Roman" w:cs="Times New Roman"/>
          <w:sz w:val="24"/>
          <w:szCs w:val="24"/>
        </w:rPr>
        <w:t>kraju 202</w:t>
      </w:r>
      <w:r w:rsidR="00A97FD0" w:rsidRPr="00C7692A">
        <w:rPr>
          <w:rFonts w:ascii="Times New Roman" w:hAnsi="Times New Roman" w:cs="Times New Roman"/>
          <w:sz w:val="24"/>
          <w:szCs w:val="24"/>
        </w:rPr>
        <w:t>4</w:t>
      </w:r>
      <w:r w:rsidR="00852812" w:rsidRPr="00C7692A">
        <w:rPr>
          <w:rFonts w:ascii="Times New Roman" w:hAnsi="Times New Roman" w:cs="Times New Roman"/>
          <w:sz w:val="24"/>
          <w:szCs w:val="24"/>
        </w:rPr>
        <w:t>. godine planira se u 202</w:t>
      </w:r>
      <w:r w:rsidR="00A97FD0" w:rsidRPr="00C7692A">
        <w:rPr>
          <w:rFonts w:ascii="Times New Roman" w:hAnsi="Times New Roman" w:cs="Times New Roman"/>
          <w:sz w:val="24"/>
          <w:szCs w:val="24"/>
        </w:rPr>
        <w:t>5</w:t>
      </w:r>
      <w:r w:rsidR="00852812" w:rsidRPr="00C7692A">
        <w:rPr>
          <w:rFonts w:ascii="Times New Roman" w:hAnsi="Times New Roman" w:cs="Times New Roman"/>
          <w:sz w:val="24"/>
          <w:szCs w:val="24"/>
        </w:rPr>
        <w:t xml:space="preserve">. godinu prenijeti sredstva u visini </w:t>
      </w:r>
      <w:r w:rsidR="00A97FD0" w:rsidRPr="00C7692A">
        <w:rPr>
          <w:rFonts w:ascii="Times New Roman" w:hAnsi="Times New Roman" w:cs="Times New Roman"/>
          <w:sz w:val="24"/>
          <w:szCs w:val="24"/>
        </w:rPr>
        <w:t>3.186.124</w:t>
      </w:r>
      <w:r w:rsidR="00852812" w:rsidRPr="00C7692A">
        <w:rPr>
          <w:rFonts w:ascii="Times New Roman" w:hAnsi="Times New Roman" w:cs="Times New Roman"/>
          <w:sz w:val="24"/>
          <w:szCs w:val="24"/>
        </w:rPr>
        <w:t xml:space="preserve"> EUR </w:t>
      </w:r>
    </w:p>
    <w:p w14:paraId="5ADA74AF" w14:textId="77777777" w:rsidR="00852812" w:rsidRPr="00C7692A" w:rsidRDefault="008528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>Navedena sredstva se odnose na slijedeće izvore: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0"/>
        <w:gridCol w:w="1460"/>
        <w:gridCol w:w="1460"/>
      </w:tblGrid>
      <w:tr w:rsidR="00852812" w:rsidRPr="00C7692A" w14:paraId="4AD73D7B" w14:textId="77777777" w:rsidTr="00B326AF">
        <w:trPr>
          <w:trHeight w:val="17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EFC" w14:textId="77777777" w:rsidR="00852812" w:rsidRPr="00C7692A" w:rsidRDefault="00852812" w:rsidP="008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IZVOR 31                  </w:t>
            </w:r>
            <w:proofErr w:type="spellStart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Vlastiti</w:t>
            </w:r>
            <w:proofErr w:type="spellEnd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prihodi</w:t>
            </w:r>
            <w:proofErr w:type="spellEnd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21D" w14:textId="77777777" w:rsidR="00852812" w:rsidRPr="00C7692A" w:rsidRDefault="00852812" w:rsidP="008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IZVOR 43                   </w:t>
            </w:r>
            <w:proofErr w:type="spellStart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Prihodi</w:t>
            </w:r>
            <w:proofErr w:type="spellEnd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posebne</w:t>
            </w:r>
            <w:proofErr w:type="spellEnd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namjene</w:t>
            </w:r>
            <w:proofErr w:type="spellEnd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80F" w14:textId="77777777" w:rsidR="00852812" w:rsidRPr="00C7692A" w:rsidRDefault="00852812" w:rsidP="008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IZVOR 51                              </w:t>
            </w:r>
            <w:proofErr w:type="spellStart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Pomoći</w:t>
            </w:r>
            <w:proofErr w:type="spellEnd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EU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54D" w14:textId="77777777" w:rsidR="00852812" w:rsidRPr="00C7692A" w:rsidRDefault="00852812" w:rsidP="008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IZVOR 52                              </w:t>
            </w:r>
            <w:proofErr w:type="spellStart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Ostale</w:t>
            </w:r>
            <w:proofErr w:type="spellEnd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pomoći</w:t>
            </w:r>
            <w:proofErr w:type="spellEnd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A40" w14:textId="77777777" w:rsidR="00852812" w:rsidRPr="00C7692A" w:rsidRDefault="00852812" w:rsidP="008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IZVOR 61                              </w:t>
            </w:r>
            <w:proofErr w:type="spellStart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Donacije</w:t>
            </w:r>
            <w:proofErr w:type="spellEnd"/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5378" w14:textId="77777777" w:rsidR="00852812" w:rsidRPr="00C7692A" w:rsidRDefault="00852812" w:rsidP="008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  <w:p w14:paraId="13FC019B" w14:textId="77777777" w:rsidR="00852812" w:rsidRPr="00C7692A" w:rsidRDefault="00852812" w:rsidP="008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</w:p>
          <w:p w14:paraId="45D65713" w14:textId="77777777" w:rsidR="00852812" w:rsidRPr="00C7692A" w:rsidRDefault="00852812" w:rsidP="0085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UKUPNO DONOS</w:t>
            </w:r>
          </w:p>
        </w:tc>
      </w:tr>
      <w:tr w:rsidR="00852812" w:rsidRPr="00C7692A" w14:paraId="1B4D9BAE" w14:textId="77777777" w:rsidTr="00A97FD0">
        <w:trPr>
          <w:trHeight w:val="39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7FC2" w14:textId="32B9422D" w:rsidR="00852812" w:rsidRPr="00C7692A" w:rsidRDefault="008F6383" w:rsidP="00852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1AC8" w14:textId="37EB68FE" w:rsidR="00852812" w:rsidRPr="00C7692A" w:rsidRDefault="008F6383" w:rsidP="00852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1.691.000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3450" w14:textId="5C1A8B98" w:rsidR="00852812" w:rsidRPr="00C7692A" w:rsidRDefault="008F6383" w:rsidP="00852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800.124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A9BF" w14:textId="00693E21" w:rsidR="00852812" w:rsidRPr="00C7692A" w:rsidRDefault="008F6383" w:rsidP="00852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450.000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BF34" w14:textId="54EB4F3E" w:rsidR="00852812" w:rsidRPr="00C7692A" w:rsidRDefault="008F6383" w:rsidP="00852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15.000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31E48" w14:textId="3EFA7276" w:rsidR="00852812" w:rsidRPr="00C7692A" w:rsidRDefault="008F6383" w:rsidP="008F6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C7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   3.186.124</w:t>
            </w:r>
          </w:p>
        </w:tc>
      </w:tr>
    </w:tbl>
    <w:p w14:paraId="0B5A2ECB" w14:textId="77777777" w:rsidR="00852812" w:rsidRPr="00C7692A" w:rsidRDefault="008528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1C74A" w14:textId="77777777" w:rsidR="00B326AF" w:rsidRPr="00C7692A" w:rsidRDefault="00B326A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Navedena sredstva </w:t>
      </w:r>
      <w:r w:rsidRPr="00C7692A">
        <w:rPr>
          <w:rFonts w:ascii="Times New Roman" w:hAnsi="Times New Roman" w:cs="Times New Roman"/>
          <w:b/>
          <w:sz w:val="24"/>
          <w:szCs w:val="24"/>
        </w:rPr>
        <w:t>donosa</w:t>
      </w:r>
      <w:r w:rsidRPr="00C7692A">
        <w:rPr>
          <w:rFonts w:ascii="Times New Roman" w:hAnsi="Times New Roman" w:cs="Times New Roman"/>
          <w:sz w:val="24"/>
          <w:szCs w:val="24"/>
        </w:rPr>
        <w:t xml:space="preserve"> se odnose na slijedeće:</w:t>
      </w:r>
    </w:p>
    <w:p w14:paraId="2E07156F" w14:textId="4104B0ED" w:rsidR="00B326AF" w:rsidRPr="00C7692A" w:rsidRDefault="00B326AF" w:rsidP="004F670F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Izvor 31</w:t>
      </w:r>
      <w:r w:rsidRPr="00C7692A">
        <w:rPr>
          <w:rFonts w:ascii="Times New Roman" w:hAnsi="Times New Roman" w:cs="Times New Roman"/>
          <w:sz w:val="24"/>
          <w:szCs w:val="24"/>
        </w:rPr>
        <w:t>: Neutrošena sredstva iz vlastitih projekata za tržište, tečajev</w:t>
      </w:r>
      <w:r w:rsidR="00A27FC7" w:rsidRPr="00C7692A">
        <w:rPr>
          <w:rFonts w:ascii="Times New Roman" w:hAnsi="Times New Roman" w:cs="Times New Roman"/>
          <w:sz w:val="24"/>
          <w:szCs w:val="24"/>
        </w:rPr>
        <w:t>a</w:t>
      </w:r>
      <w:r w:rsidRPr="00C7692A">
        <w:rPr>
          <w:rFonts w:ascii="Times New Roman" w:hAnsi="Times New Roman" w:cs="Times New Roman"/>
          <w:sz w:val="24"/>
          <w:szCs w:val="24"/>
        </w:rPr>
        <w:t xml:space="preserve"> trajne medicinske izobrazbe, </w:t>
      </w:r>
      <w:r w:rsidR="00A27FC7" w:rsidRPr="00C7692A">
        <w:rPr>
          <w:rFonts w:ascii="Times New Roman" w:hAnsi="Times New Roman" w:cs="Times New Roman"/>
          <w:sz w:val="24"/>
          <w:szCs w:val="24"/>
        </w:rPr>
        <w:t>C</w:t>
      </w:r>
      <w:r w:rsidRPr="00C7692A">
        <w:rPr>
          <w:rFonts w:ascii="Times New Roman" w:hAnsi="Times New Roman" w:cs="Times New Roman"/>
          <w:sz w:val="24"/>
          <w:szCs w:val="24"/>
        </w:rPr>
        <w:t>entra za medicinu spavanja,</w:t>
      </w:r>
      <w:r w:rsidR="00A27FC7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>sudskih medicinska vještačenja, konzultantskih uslug</w:t>
      </w:r>
      <w:r w:rsidR="00F7685D" w:rsidRPr="00C7692A">
        <w:rPr>
          <w:rFonts w:ascii="Times New Roman" w:hAnsi="Times New Roman" w:cs="Times New Roman"/>
          <w:sz w:val="24"/>
          <w:szCs w:val="24"/>
        </w:rPr>
        <w:t>a</w:t>
      </w:r>
      <w:r w:rsidRPr="00C7692A">
        <w:rPr>
          <w:rFonts w:ascii="Times New Roman" w:hAnsi="Times New Roman" w:cs="Times New Roman"/>
          <w:sz w:val="24"/>
          <w:szCs w:val="24"/>
        </w:rPr>
        <w:t xml:space="preserve"> te iznajmljivanj</w:t>
      </w:r>
      <w:r w:rsidR="00A27FC7" w:rsidRPr="00C7692A">
        <w:rPr>
          <w:rFonts w:ascii="Times New Roman" w:hAnsi="Times New Roman" w:cs="Times New Roman"/>
          <w:sz w:val="24"/>
          <w:szCs w:val="24"/>
        </w:rPr>
        <w:t>a</w:t>
      </w:r>
      <w:r w:rsidRPr="00C7692A">
        <w:rPr>
          <w:rFonts w:ascii="Times New Roman" w:hAnsi="Times New Roman" w:cs="Times New Roman"/>
          <w:sz w:val="24"/>
          <w:szCs w:val="24"/>
        </w:rPr>
        <w:t xml:space="preserve"> prostora. Ova sredstva će se utrošiti za podmirenje rashoda poslovanja u 202</w:t>
      </w:r>
      <w:r w:rsidR="008F638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. godini</w:t>
      </w:r>
      <w:r w:rsidR="00F7685D" w:rsidRPr="00C7692A">
        <w:rPr>
          <w:rFonts w:ascii="Times New Roman" w:hAnsi="Times New Roman" w:cs="Times New Roman"/>
          <w:sz w:val="24"/>
          <w:szCs w:val="24"/>
        </w:rPr>
        <w:t xml:space="preserve"> (u značajnom dijelu za rashode potrebne za realizaciju </w:t>
      </w:r>
      <w:r w:rsidR="008D5373" w:rsidRPr="00C7692A">
        <w:rPr>
          <w:rFonts w:ascii="Times New Roman" w:hAnsi="Times New Roman" w:cs="Times New Roman"/>
          <w:sz w:val="24"/>
          <w:szCs w:val="24"/>
        </w:rPr>
        <w:t xml:space="preserve">tržišnog projekta sa tvrtkom </w:t>
      </w:r>
      <w:r w:rsidR="00F7685D" w:rsidRPr="00C7692A">
        <w:rPr>
          <w:rFonts w:ascii="Times New Roman" w:hAnsi="Times New Roman" w:cs="Times New Roman"/>
          <w:sz w:val="24"/>
          <w:szCs w:val="24"/>
        </w:rPr>
        <w:t xml:space="preserve"> Roche)</w:t>
      </w:r>
      <w:r w:rsidRPr="00C7692A">
        <w:rPr>
          <w:rFonts w:ascii="Times New Roman" w:hAnsi="Times New Roman" w:cs="Times New Roman"/>
          <w:sz w:val="24"/>
          <w:szCs w:val="24"/>
        </w:rPr>
        <w:t>.</w:t>
      </w:r>
    </w:p>
    <w:p w14:paraId="60CE1BF6" w14:textId="77777777" w:rsidR="00F7685D" w:rsidRPr="00C7692A" w:rsidRDefault="00F7685D" w:rsidP="004F670F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E13A7FF" w14:textId="1836BE78" w:rsidR="00B326AF" w:rsidRPr="00C7692A" w:rsidRDefault="00B326AF" w:rsidP="004F6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Izvor 43</w:t>
      </w:r>
      <w:r w:rsidRPr="00C7692A">
        <w:rPr>
          <w:rFonts w:ascii="Times New Roman" w:hAnsi="Times New Roman" w:cs="Times New Roman"/>
          <w:sz w:val="24"/>
          <w:szCs w:val="24"/>
        </w:rPr>
        <w:t>: Neutrošena sredstva prihoda od školarina</w:t>
      </w:r>
      <w:r w:rsidR="00F7685D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>za ak. godinu 202</w:t>
      </w:r>
      <w:r w:rsidR="008F6383" w:rsidRPr="00C7692A">
        <w:rPr>
          <w:rFonts w:ascii="Times New Roman" w:hAnsi="Times New Roman" w:cs="Times New Roman"/>
          <w:sz w:val="24"/>
          <w:szCs w:val="24"/>
        </w:rPr>
        <w:t>4</w:t>
      </w:r>
      <w:r w:rsidRPr="00C7692A">
        <w:rPr>
          <w:rFonts w:ascii="Times New Roman" w:hAnsi="Times New Roman" w:cs="Times New Roman"/>
          <w:sz w:val="24"/>
          <w:szCs w:val="24"/>
        </w:rPr>
        <w:t>/202</w:t>
      </w:r>
      <w:r w:rsidR="008F638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.</w:t>
      </w:r>
      <w:r w:rsidR="004F670F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 xml:space="preserve">Ova sredstva će se </w:t>
      </w:r>
      <w:r w:rsidR="002F0B8A" w:rsidRPr="00C7692A">
        <w:rPr>
          <w:rFonts w:ascii="Times New Roman" w:hAnsi="Times New Roman" w:cs="Times New Roman"/>
          <w:sz w:val="24"/>
          <w:szCs w:val="24"/>
        </w:rPr>
        <w:t xml:space="preserve">koristiti </w:t>
      </w:r>
      <w:r w:rsidRPr="00C7692A">
        <w:rPr>
          <w:rFonts w:ascii="Times New Roman" w:hAnsi="Times New Roman" w:cs="Times New Roman"/>
          <w:sz w:val="24"/>
          <w:szCs w:val="24"/>
        </w:rPr>
        <w:t xml:space="preserve">za podmirenje rashoda </w:t>
      </w:r>
      <w:r w:rsidR="00310E1F" w:rsidRPr="00C7692A">
        <w:rPr>
          <w:rFonts w:ascii="Times New Roman" w:hAnsi="Times New Roman" w:cs="Times New Roman"/>
          <w:sz w:val="24"/>
          <w:szCs w:val="24"/>
        </w:rPr>
        <w:t xml:space="preserve">redovnog </w:t>
      </w:r>
      <w:r w:rsidRPr="00C7692A">
        <w:rPr>
          <w:rFonts w:ascii="Times New Roman" w:hAnsi="Times New Roman" w:cs="Times New Roman"/>
          <w:sz w:val="24"/>
          <w:szCs w:val="24"/>
        </w:rPr>
        <w:t>poslovanja u 202</w:t>
      </w:r>
      <w:r w:rsidR="008F6383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. godini.</w:t>
      </w:r>
    </w:p>
    <w:p w14:paraId="3320D69A" w14:textId="5035FF4F" w:rsidR="00B326AF" w:rsidRPr="00C7692A" w:rsidRDefault="00B326AF" w:rsidP="004F6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Izvor 51</w:t>
      </w:r>
      <w:r w:rsidRPr="00C7692A">
        <w:rPr>
          <w:rFonts w:ascii="Times New Roman" w:hAnsi="Times New Roman" w:cs="Times New Roman"/>
          <w:sz w:val="24"/>
          <w:szCs w:val="24"/>
        </w:rPr>
        <w:t xml:space="preserve">: Neutrošena sredstva se odnose na </w:t>
      </w:r>
      <w:r w:rsidR="001E6603" w:rsidRPr="00C7692A">
        <w:rPr>
          <w:rFonts w:ascii="Times New Roman" w:hAnsi="Times New Roman" w:cs="Times New Roman"/>
          <w:sz w:val="24"/>
          <w:szCs w:val="24"/>
        </w:rPr>
        <w:t xml:space="preserve">sredstva primljena </w:t>
      </w:r>
      <w:r w:rsidRPr="00C7692A">
        <w:rPr>
          <w:rFonts w:ascii="Times New Roman" w:hAnsi="Times New Roman" w:cs="Times New Roman"/>
          <w:sz w:val="24"/>
          <w:szCs w:val="24"/>
        </w:rPr>
        <w:t xml:space="preserve"> za EU </w:t>
      </w:r>
      <w:r w:rsidR="003E43EC">
        <w:rPr>
          <w:rFonts w:ascii="Times New Roman" w:hAnsi="Times New Roman" w:cs="Times New Roman"/>
          <w:sz w:val="24"/>
          <w:szCs w:val="24"/>
        </w:rPr>
        <w:t>Obzor</w:t>
      </w:r>
      <w:r w:rsidR="001E6603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>projekte te će se trošiti prema proračunima projekata za podmirenje planiranih rashoda.</w:t>
      </w:r>
    </w:p>
    <w:p w14:paraId="0DD59A2E" w14:textId="0DE06A34" w:rsidR="004F670F" w:rsidRPr="00C7692A" w:rsidRDefault="004F670F" w:rsidP="004F6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Izvor 52</w:t>
      </w:r>
      <w:r w:rsidRPr="00C7692A">
        <w:rPr>
          <w:rFonts w:ascii="Times New Roman" w:hAnsi="Times New Roman" w:cs="Times New Roman"/>
          <w:sz w:val="24"/>
          <w:szCs w:val="24"/>
        </w:rPr>
        <w:t>: Neutrošena sredstva se u najvećem dijelu odnose na</w:t>
      </w:r>
      <w:r w:rsidR="00F7685D" w:rsidRPr="00C7692A">
        <w:rPr>
          <w:rFonts w:ascii="Times New Roman" w:hAnsi="Times New Roman" w:cs="Times New Roman"/>
          <w:sz w:val="24"/>
          <w:szCs w:val="24"/>
        </w:rPr>
        <w:t xml:space="preserve"> prihode </w:t>
      </w:r>
      <w:r w:rsidR="008D5373" w:rsidRPr="00C7692A">
        <w:rPr>
          <w:rFonts w:ascii="Times New Roman" w:hAnsi="Times New Roman" w:cs="Times New Roman"/>
          <w:sz w:val="24"/>
          <w:szCs w:val="24"/>
        </w:rPr>
        <w:t xml:space="preserve">od </w:t>
      </w:r>
      <w:r w:rsidRPr="00C7692A">
        <w:rPr>
          <w:rFonts w:ascii="Times New Roman" w:hAnsi="Times New Roman" w:cs="Times New Roman"/>
          <w:sz w:val="24"/>
          <w:szCs w:val="24"/>
        </w:rPr>
        <w:t>projek</w:t>
      </w:r>
      <w:r w:rsidR="00F7685D" w:rsidRPr="00C7692A">
        <w:rPr>
          <w:rFonts w:ascii="Times New Roman" w:hAnsi="Times New Roman" w:cs="Times New Roman"/>
          <w:sz w:val="24"/>
          <w:szCs w:val="24"/>
        </w:rPr>
        <w:t>ata</w:t>
      </w:r>
      <w:r w:rsidR="008D5373" w:rsidRPr="00C7692A">
        <w:rPr>
          <w:rFonts w:ascii="Times New Roman" w:hAnsi="Times New Roman" w:cs="Times New Roman"/>
          <w:sz w:val="24"/>
          <w:szCs w:val="24"/>
        </w:rPr>
        <w:t>. N</w:t>
      </w:r>
      <w:r w:rsidR="00F7685D" w:rsidRPr="00C7692A">
        <w:rPr>
          <w:rFonts w:ascii="Times New Roman" w:hAnsi="Times New Roman" w:cs="Times New Roman"/>
          <w:sz w:val="24"/>
          <w:szCs w:val="24"/>
        </w:rPr>
        <w:t xml:space="preserve">ajveći iznos se odnosi </w:t>
      </w:r>
      <w:r w:rsidR="007E77E0" w:rsidRPr="00C7692A">
        <w:rPr>
          <w:rFonts w:ascii="Times New Roman" w:hAnsi="Times New Roman" w:cs="Times New Roman"/>
          <w:sz w:val="24"/>
          <w:szCs w:val="24"/>
        </w:rPr>
        <w:t>na</w:t>
      </w:r>
      <w:r w:rsidR="00F7685D" w:rsidRPr="00C7692A">
        <w:rPr>
          <w:rFonts w:ascii="Times New Roman" w:hAnsi="Times New Roman" w:cs="Times New Roman"/>
          <w:sz w:val="24"/>
          <w:szCs w:val="24"/>
        </w:rPr>
        <w:t xml:space="preserve"> projekt</w:t>
      </w:r>
      <w:r w:rsidR="008D5373" w:rsidRPr="00C7692A">
        <w:rPr>
          <w:rFonts w:ascii="Times New Roman" w:hAnsi="Times New Roman" w:cs="Times New Roman"/>
          <w:sz w:val="24"/>
          <w:szCs w:val="24"/>
        </w:rPr>
        <w:t>e AI4Health</w:t>
      </w:r>
      <w:r w:rsidR="00662836" w:rsidRPr="00C7692A">
        <w:rPr>
          <w:rFonts w:ascii="Times New Roman" w:hAnsi="Times New Roman" w:cs="Times New Roman"/>
          <w:sz w:val="24"/>
          <w:szCs w:val="24"/>
        </w:rPr>
        <w:t xml:space="preserve"> </w:t>
      </w:r>
      <w:r w:rsidRPr="00C7692A">
        <w:rPr>
          <w:rFonts w:ascii="Times New Roman" w:hAnsi="Times New Roman" w:cs="Times New Roman"/>
          <w:sz w:val="24"/>
          <w:szCs w:val="24"/>
        </w:rPr>
        <w:t>te sredstva prim</w:t>
      </w:r>
      <w:r w:rsidR="00F7685D" w:rsidRPr="00C7692A">
        <w:rPr>
          <w:rFonts w:ascii="Times New Roman" w:hAnsi="Times New Roman" w:cs="Times New Roman"/>
          <w:sz w:val="24"/>
          <w:szCs w:val="24"/>
        </w:rPr>
        <w:t>l</w:t>
      </w:r>
      <w:r w:rsidRPr="00C7692A">
        <w:rPr>
          <w:rFonts w:ascii="Times New Roman" w:hAnsi="Times New Roman" w:cs="Times New Roman"/>
          <w:sz w:val="24"/>
          <w:szCs w:val="24"/>
        </w:rPr>
        <w:t>jena za realizaciju  HRZZ projekata. Sredstva će se trošiti prema proračunima projekata za podmirenje planiranih rashoda</w:t>
      </w:r>
      <w:r w:rsidR="007E77E0" w:rsidRPr="00C7692A">
        <w:rPr>
          <w:rFonts w:ascii="Times New Roman" w:hAnsi="Times New Roman" w:cs="Times New Roman"/>
          <w:sz w:val="24"/>
          <w:szCs w:val="24"/>
        </w:rPr>
        <w:t>.</w:t>
      </w:r>
    </w:p>
    <w:p w14:paraId="56888E15" w14:textId="77777777" w:rsidR="004F670F" w:rsidRPr="00C7692A" w:rsidRDefault="004F670F" w:rsidP="004F670F">
      <w:pPr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Izvor 61</w:t>
      </w:r>
      <w:r w:rsidRPr="00C7692A">
        <w:rPr>
          <w:rFonts w:ascii="Times New Roman" w:hAnsi="Times New Roman" w:cs="Times New Roman"/>
          <w:sz w:val="24"/>
          <w:szCs w:val="24"/>
        </w:rPr>
        <w:t>: Neutrošena sredstva se odnose namjenske donacije fizičkih osoba, neprofitnih organizacija, trgovačkih društava i ostalih subjekata izvan općeg proračuna</w:t>
      </w:r>
      <w:r w:rsidR="008D5373" w:rsidRPr="00C7692A">
        <w:rPr>
          <w:rFonts w:ascii="Times New Roman" w:hAnsi="Times New Roman" w:cs="Times New Roman"/>
          <w:sz w:val="24"/>
          <w:szCs w:val="24"/>
        </w:rPr>
        <w:t>.</w:t>
      </w:r>
      <w:r w:rsidRPr="00C7692A">
        <w:rPr>
          <w:rFonts w:ascii="Times New Roman" w:hAnsi="Times New Roman" w:cs="Times New Roman"/>
          <w:sz w:val="24"/>
          <w:szCs w:val="24"/>
        </w:rPr>
        <w:t xml:space="preserve"> Sredstva će se  trošiti namjenski za podmirenje rashoda za koje su dobivena.</w:t>
      </w:r>
    </w:p>
    <w:p w14:paraId="4FBF9E62" w14:textId="77777777" w:rsidR="0017743F" w:rsidRPr="00C7692A" w:rsidRDefault="0017743F" w:rsidP="004F6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BFEE1" w14:textId="24BBD313" w:rsidR="004F670F" w:rsidRPr="00C7692A" w:rsidRDefault="004F670F" w:rsidP="004F6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2A">
        <w:rPr>
          <w:rFonts w:ascii="Times New Roman" w:hAnsi="Times New Roman" w:cs="Times New Roman"/>
          <w:sz w:val="24"/>
          <w:szCs w:val="24"/>
        </w:rPr>
        <w:t xml:space="preserve">Sredstva </w:t>
      </w:r>
      <w:r w:rsidRPr="00C7692A">
        <w:rPr>
          <w:rFonts w:ascii="Times New Roman" w:hAnsi="Times New Roman" w:cs="Times New Roman"/>
          <w:b/>
          <w:sz w:val="24"/>
          <w:szCs w:val="24"/>
        </w:rPr>
        <w:t xml:space="preserve">odnosa </w:t>
      </w:r>
      <w:r w:rsidRPr="00C7692A">
        <w:rPr>
          <w:rFonts w:ascii="Times New Roman" w:hAnsi="Times New Roman" w:cs="Times New Roman"/>
          <w:sz w:val="24"/>
          <w:szCs w:val="24"/>
        </w:rPr>
        <w:t>se planiraju na isti način kao i sredstva donosa; očekuje se slična situacija i na kraju 202</w:t>
      </w:r>
      <w:r w:rsidR="00662836" w:rsidRPr="00C7692A">
        <w:rPr>
          <w:rFonts w:ascii="Times New Roman" w:hAnsi="Times New Roman" w:cs="Times New Roman"/>
          <w:sz w:val="24"/>
          <w:szCs w:val="24"/>
        </w:rPr>
        <w:t>5</w:t>
      </w:r>
      <w:r w:rsidRPr="00C7692A">
        <w:rPr>
          <w:rFonts w:ascii="Times New Roman" w:hAnsi="Times New Roman" w:cs="Times New Roman"/>
          <w:sz w:val="24"/>
          <w:szCs w:val="24"/>
        </w:rPr>
        <w:t>. godine.</w:t>
      </w:r>
    </w:p>
    <w:p w14:paraId="31CD29BE" w14:textId="77777777" w:rsidR="002645E1" w:rsidRDefault="002645E1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21C75" w14:textId="77777777" w:rsidR="0045244C" w:rsidRDefault="0045244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4BA95" w14:textId="3FE2429B"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C7692A" w14:paraId="55FF4B95" w14:textId="77777777" w:rsidTr="009D7CA0">
        <w:tc>
          <w:tcPr>
            <w:tcW w:w="1838" w:type="dxa"/>
          </w:tcPr>
          <w:p w14:paraId="1CFD3317" w14:textId="77777777" w:rsidR="009D7CA0" w:rsidRPr="00C7692A" w:rsidRDefault="009D7CA0" w:rsidP="00D1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DADE2" w14:textId="32595499" w:rsidR="009D7CA0" w:rsidRPr="00C7692A" w:rsidRDefault="009D7CA0" w:rsidP="00D1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004410" w:rsidRPr="00C7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1424773E" w14:textId="1CAE4DED" w:rsidR="009D7CA0" w:rsidRPr="00C7692A" w:rsidRDefault="009D7CA0" w:rsidP="00D1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Stanje obveza na dan 30.0</w:t>
            </w:r>
            <w:r w:rsidR="00452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04410" w:rsidRPr="00C76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6EC" w:rsidRPr="00C7692A" w14:paraId="49908ACD" w14:textId="77777777" w:rsidTr="009D7CA0">
        <w:tc>
          <w:tcPr>
            <w:tcW w:w="1838" w:type="dxa"/>
          </w:tcPr>
          <w:p w14:paraId="3E036699" w14:textId="77777777" w:rsidR="00EF06EC" w:rsidRPr="00C7692A" w:rsidRDefault="00EF06EC" w:rsidP="00EF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159F0AE4" w14:textId="21125758" w:rsidR="00EF06EC" w:rsidRPr="00C7692A" w:rsidRDefault="00EF06EC" w:rsidP="00EF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2.096.474,96 EUR</w:t>
            </w:r>
          </w:p>
        </w:tc>
        <w:tc>
          <w:tcPr>
            <w:tcW w:w="3680" w:type="dxa"/>
          </w:tcPr>
          <w:p w14:paraId="11717B36" w14:textId="70EF97E7" w:rsidR="00EF06EC" w:rsidRPr="00C7692A" w:rsidRDefault="00EF06EC" w:rsidP="00EF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45244C">
              <w:rPr>
                <w:rFonts w:ascii="Times New Roman" w:hAnsi="Times New Roman" w:cs="Times New Roman"/>
                <w:sz w:val="24"/>
                <w:szCs w:val="24"/>
              </w:rPr>
              <w:t>2.087.987,21</w:t>
            </w:r>
            <w:r w:rsidR="00440F5E" w:rsidRPr="00C7692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EF06EC" w:rsidRPr="00C7692A" w14:paraId="372AE55C" w14:textId="77777777" w:rsidTr="009D7CA0">
        <w:tc>
          <w:tcPr>
            <w:tcW w:w="1838" w:type="dxa"/>
          </w:tcPr>
          <w:p w14:paraId="4929BF8D" w14:textId="77777777" w:rsidR="00EF06EC" w:rsidRPr="00C7692A" w:rsidRDefault="00EF06EC" w:rsidP="00EF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6A43B49" w14:textId="0E89163B" w:rsidR="00EF06EC" w:rsidRPr="00C7692A" w:rsidRDefault="00EF06EC" w:rsidP="00EF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125B20" w:rsidRPr="00C769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>869.964,19 EUR</w:t>
            </w:r>
          </w:p>
        </w:tc>
        <w:tc>
          <w:tcPr>
            <w:tcW w:w="3680" w:type="dxa"/>
          </w:tcPr>
          <w:p w14:paraId="25833F94" w14:textId="73AC0C39" w:rsidR="00EF06EC" w:rsidRPr="00C7692A" w:rsidRDefault="00EF06EC" w:rsidP="00EF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45244C">
              <w:rPr>
                <w:rFonts w:ascii="Times New Roman" w:hAnsi="Times New Roman" w:cs="Times New Roman"/>
                <w:sz w:val="24"/>
                <w:szCs w:val="24"/>
              </w:rPr>
              <w:t>1.316.056,00</w:t>
            </w:r>
            <w:r w:rsidRPr="00C7692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03ADD70A" w14:textId="77777777" w:rsidR="000D0A1C" w:rsidRPr="00C7692A" w:rsidRDefault="000D0A1C" w:rsidP="00D16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F3B3A" w14:textId="29F2E81B" w:rsidR="00660C52" w:rsidRPr="00C7692A" w:rsidRDefault="00660C52" w:rsidP="00340BFA">
      <w:pPr>
        <w:pStyle w:val="BodyText"/>
        <w:tabs>
          <w:tab w:val="left" w:pos="142"/>
          <w:tab w:val="left" w:pos="426"/>
        </w:tabs>
        <w:jc w:val="both"/>
        <w:rPr>
          <w:szCs w:val="24"/>
        </w:rPr>
      </w:pPr>
      <w:proofErr w:type="spellStart"/>
      <w:r w:rsidRPr="00C7692A">
        <w:rPr>
          <w:b/>
          <w:szCs w:val="24"/>
        </w:rPr>
        <w:t>Dospjele</w:t>
      </w:r>
      <w:proofErr w:type="spellEnd"/>
      <w:r w:rsidRPr="00C7692A">
        <w:rPr>
          <w:b/>
          <w:szCs w:val="24"/>
        </w:rPr>
        <w:t xml:space="preserve"> </w:t>
      </w:r>
      <w:proofErr w:type="spellStart"/>
      <w:r w:rsidRPr="00C7692A">
        <w:rPr>
          <w:b/>
          <w:szCs w:val="24"/>
        </w:rPr>
        <w:t>obveze</w:t>
      </w:r>
      <w:proofErr w:type="spellEnd"/>
      <w:r w:rsidRPr="00C7692A">
        <w:rPr>
          <w:b/>
          <w:szCs w:val="24"/>
        </w:rPr>
        <w:t xml:space="preserve"> 31.12.202</w:t>
      </w:r>
      <w:r w:rsidR="00004410" w:rsidRPr="00C7692A">
        <w:rPr>
          <w:b/>
          <w:szCs w:val="24"/>
        </w:rPr>
        <w:t>3</w:t>
      </w:r>
      <w:r w:rsidR="00340BFA" w:rsidRPr="00C7692A">
        <w:rPr>
          <w:szCs w:val="24"/>
        </w:rPr>
        <w:t>.</w:t>
      </w:r>
    </w:p>
    <w:p w14:paraId="2C2FFA6F" w14:textId="77777777" w:rsidR="00340BFA" w:rsidRPr="00C7692A" w:rsidRDefault="00340BFA" w:rsidP="00340BFA">
      <w:pPr>
        <w:pStyle w:val="BodyText"/>
        <w:tabs>
          <w:tab w:val="left" w:pos="142"/>
          <w:tab w:val="left" w:pos="426"/>
        </w:tabs>
        <w:jc w:val="both"/>
        <w:rPr>
          <w:szCs w:val="24"/>
        </w:rPr>
      </w:pPr>
    </w:p>
    <w:p w14:paraId="764965D6" w14:textId="77777777" w:rsidR="00EF06EC" w:rsidRPr="00C7692A" w:rsidRDefault="00EF06EC" w:rsidP="00EF06EC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  <w:r w:rsidRPr="00C7692A">
        <w:rPr>
          <w:rFonts w:eastAsiaTheme="minorHAnsi"/>
          <w:szCs w:val="24"/>
          <w:lang w:val="hr-HR"/>
        </w:rPr>
        <w:t>Stanje dospjelih obveza na kraju izvještajnog razdoblja u visini 869.964,19 EUR se u najvećoj mjeri odnosi na obveze prema proračunskim korisnicima u iznosu od 851.750,54 EUR dok se ostatak u visini 18.213,65 EUR odnosi na tekuće obveze za materijalne rashode i nabavu nefinancijske imovine (kod ovih obveza nema značajnih kašnjenja).</w:t>
      </w:r>
    </w:p>
    <w:p w14:paraId="78D4C9E9" w14:textId="77777777" w:rsidR="00EF06EC" w:rsidRPr="00C7692A" w:rsidRDefault="00EF06EC" w:rsidP="00EF06EC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</w:p>
    <w:p w14:paraId="1652E390" w14:textId="77777777" w:rsidR="00EF06EC" w:rsidRPr="00C7692A" w:rsidRDefault="00EF06EC" w:rsidP="00EF06EC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  <w:proofErr w:type="spellStart"/>
      <w:r w:rsidRPr="00C7692A">
        <w:rPr>
          <w:szCs w:val="24"/>
        </w:rPr>
        <w:t>Dospjele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prema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proračunskim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korisnicima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visini</w:t>
      </w:r>
      <w:proofErr w:type="spellEnd"/>
      <w:r w:rsidRPr="00C7692A">
        <w:rPr>
          <w:szCs w:val="24"/>
        </w:rPr>
        <w:t xml:space="preserve"> 851.750,54 EUR se </w:t>
      </w:r>
      <w:proofErr w:type="spellStart"/>
      <w:r w:rsidRPr="00C7692A">
        <w:rPr>
          <w:szCs w:val="24"/>
        </w:rPr>
        <w:t>odnose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na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prema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Sveučilištu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Splitu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visini</w:t>
      </w:r>
      <w:proofErr w:type="spellEnd"/>
      <w:r w:rsidRPr="00C7692A">
        <w:rPr>
          <w:szCs w:val="24"/>
        </w:rPr>
        <w:t xml:space="preserve"> 849.436,13 EUR </w:t>
      </w:r>
      <w:proofErr w:type="spellStart"/>
      <w:r w:rsidRPr="00C7692A">
        <w:rPr>
          <w:szCs w:val="24"/>
        </w:rPr>
        <w:t>dok</w:t>
      </w:r>
      <w:proofErr w:type="spellEnd"/>
      <w:r w:rsidRPr="00C7692A">
        <w:rPr>
          <w:szCs w:val="24"/>
        </w:rPr>
        <w:t xml:space="preserve"> se 2.314,41 EUR </w:t>
      </w:r>
      <w:proofErr w:type="spellStart"/>
      <w:r w:rsidRPr="00C7692A">
        <w:rPr>
          <w:szCs w:val="24"/>
        </w:rPr>
        <w:t>odnosi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na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prema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Kliničkoj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bolnici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Splitu</w:t>
      </w:r>
      <w:proofErr w:type="spellEnd"/>
      <w:r w:rsidRPr="00C7692A">
        <w:rPr>
          <w:szCs w:val="24"/>
        </w:rPr>
        <w:t>.</w:t>
      </w:r>
    </w:p>
    <w:p w14:paraId="04F0BECB" w14:textId="77777777" w:rsidR="00EF06EC" w:rsidRPr="00C7692A" w:rsidRDefault="00EF06EC" w:rsidP="00EF06EC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  <w:proofErr w:type="spellStart"/>
      <w:r w:rsidRPr="00C7692A">
        <w:rPr>
          <w:szCs w:val="24"/>
        </w:rPr>
        <w:t>Iznos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dospjelih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prema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Sveučilištu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Splitu</w:t>
      </w:r>
      <w:proofErr w:type="spellEnd"/>
      <w:r w:rsidRPr="00C7692A">
        <w:rPr>
          <w:szCs w:val="24"/>
        </w:rPr>
        <w:t xml:space="preserve"> se </w:t>
      </w:r>
      <w:proofErr w:type="spellStart"/>
      <w:r w:rsidRPr="00C7692A">
        <w:rPr>
          <w:szCs w:val="24"/>
        </w:rPr>
        <w:t>odnosi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na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obračunate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obveze</w:t>
      </w:r>
      <w:proofErr w:type="spellEnd"/>
      <w:r w:rsidRPr="00C7692A">
        <w:rPr>
          <w:szCs w:val="24"/>
        </w:rPr>
        <w:t xml:space="preserve"> </w:t>
      </w:r>
      <w:r w:rsidRPr="00C7692A">
        <w:rPr>
          <w:rFonts w:eastAsiaTheme="minorHAnsi"/>
          <w:szCs w:val="24"/>
          <w:lang w:val="hr-HR"/>
        </w:rPr>
        <w:t>u visini 15% od školarina studija Medicina na engleskom jeziku za ak. godinu 2020/2021. (dio) za ak. godinu 2021/2022 te za ak. godinu 2022/2023. S obzirom da se radi o visokim iznosima koje značajno utječu na likvidnost Fakulteta, sa Sveučilištem je dogovoreno da će se postojeća obveza plaćati u tranšama prema financijskim mogućnostima Fakulteta. Tijekom 2023. godine Sveučilištu je uplaćeno 212.979,22 EUR po ovoj osnovi.</w:t>
      </w:r>
    </w:p>
    <w:p w14:paraId="22D41D0F" w14:textId="77777777" w:rsidR="00EF06EC" w:rsidRPr="00C7692A" w:rsidRDefault="00EF06EC" w:rsidP="00EF06EC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  <w:proofErr w:type="spellStart"/>
      <w:r w:rsidRPr="00C7692A">
        <w:rPr>
          <w:szCs w:val="24"/>
        </w:rPr>
        <w:t>Obveze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prema</w:t>
      </w:r>
      <w:proofErr w:type="spellEnd"/>
      <w:r w:rsidRPr="00C7692A">
        <w:rPr>
          <w:szCs w:val="24"/>
        </w:rPr>
        <w:t xml:space="preserve"> KBC-u Split se </w:t>
      </w:r>
      <w:proofErr w:type="spellStart"/>
      <w:r w:rsidRPr="00C7692A">
        <w:rPr>
          <w:szCs w:val="24"/>
        </w:rPr>
        <w:t>podmiruju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prijebojem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temeljem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računa</w:t>
      </w:r>
      <w:proofErr w:type="spellEnd"/>
      <w:r w:rsidRPr="00C7692A">
        <w:rPr>
          <w:szCs w:val="24"/>
        </w:rPr>
        <w:t xml:space="preserve"> za </w:t>
      </w:r>
      <w:proofErr w:type="spellStart"/>
      <w:r w:rsidRPr="00C7692A">
        <w:rPr>
          <w:szCs w:val="24"/>
        </w:rPr>
        <w:t>usluge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i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školarina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koje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Fakultet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fakturira</w:t>
      </w:r>
      <w:proofErr w:type="spellEnd"/>
      <w:r w:rsidRPr="00C7692A">
        <w:rPr>
          <w:szCs w:val="24"/>
        </w:rPr>
        <w:t xml:space="preserve"> KBC-u </w:t>
      </w:r>
      <w:r w:rsidRPr="00C7692A">
        <w:rPr>
          <w:rFonts w:eastAsiaTheme="minorHAnsi"/>
          <w:szCs w:val="24"/>
          <w:lang w:val="hr-HR"/>
        </w:rPr>
        <w:t>te kod njih nema značajnijeg kašnjenja.</w:t>
      </w:r>
    </w:p>
    <w:p w14:paraId="017A21EE" w14:textId="77777777" w:rsidR="00C94FAE" w:rsidRPr="00C7692A" w:rsidRDefault="00C94FAE" w:rsidP="000D4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6AF9" w14:textId="433CD0F7" w:rsidR="00660C52" w:rsidRPr="0045244C" w:rsidRDefault="00660C52" w:rsidP="005337ED">
      <w:pPr>
        <w:pStyle w:val="BodyText"/>
        <w:tabs>
          <w:tab w:val="left" w:pos="142"/>
          <w:tab w:val="left" w:pos="426"/>
        </w:tabs>
        <w:jc w:val="both"/>
        <w:rPr>
          <w:b/>
          <w:szCs w:val="24"/>
        </w:rPr>
      </w:pPr>
      <w:proofErr w:type="spellStart"/>
      <w:r w:rsidRPr="0045244C">
        <w:rPr>
          <w:b/>
          <w:szCs w:val="24"/>
        </w:rPr>
        <w:t>Dospjele</w:t>
      </w:r>
      <w:proofErr w:type="spellEnd"/>
      <w:r w:rsidRPr="0045244C">
        <w:rPr>
          <w:b/>
          <w:szCs w:val="24"/>
        </w:rPr>
        <w:t xml:space="preserve"> </w:t>
      </w:r>
      <w:proofErr w:type="spellStart"/>
      <w:r w:rsidRPr="0045244C">
        <w:rPr>
          <w:b/>
          <w:szCs w:val="24"/>
        </w:rPr>
        <w:t>obveze</w:t>
      </w:r>
      <w:proofErr w:type="spellEnd"/>
      <w:r w:rsidRPr="0045244C">
        <w:rPr>
          <w:b/>
          <w:szCs w:val="24"/>
        </w:rPr>
        <w:t xml:space="preserve"> 30.0</w:t>
      </w:r>
      <w:r w:rsidR="0045244C" w:rsidRPr="0045244C">
        <w:rPr>
          <w:b/>
          <w:szCs w:val="24"/>
        </w:rPr>
        <w:t>6</w:t>
      </w:r>
      <w:r w:rsidRPr="0045244C">
        <w:rPr>
          <w:b/>
          <w:szCs w:val="24"/>
        </w:rPr>
        <w:t>.202</w:t>
      </w:r>
      <w:r w:rsidR="00004410" w:rsidRPr="0045244C">
        <w:rPr>
          <w:b/>
          <w:szCs w:val="24"/>
        </w:rPr>
        <w:t>4</w:t>
      </w:r>
      <w:r w:rsidRPr="0045244C">
        <w:rPr>
          <w:b/>
          <w:szCs w:val="24"/>
        </w:rPr>
        <w:t>.</w:t>
      </w:r>
    </w:p>
    <w:p w14:paraId="28DC353D" w14:textId="77777777" w:rsidR="00440F5E" w:rsidRPr="0045244C" w:rsidRDefault="00440F5E" w:rsidP="00440F5E">
      <w:pPr>
        <w:pStyle w:val="BodyText"/>
        <w:tabs>
          <w:tab w:val="left" w:pos="142"/>
          <w:tab w:val="left" w:pos="426"/>
        </w:tabs>
        <w:ind w:right="44"/>
        <w:jc w:val="both"/>
        <w:rPr>
          <w:szCs w:val="24"/>
        </w:rPr>
      </w:pPr>
    </w:p>
    <w:p w14:paraId="2A79939B" w14:textId="77777777" w:rsidR="0045244C" w:rsidRPr="0045244C" w:rsidRDefault="0045244C" w:rsidP="0045244C">
      <w:pPr>
        <w:pStyle w:val="BodyText"/>
        <w:tabs>
          <w:tab w:val="left" w:pos="142"/>
          <w:tab w:val="left" w:pos="426"/>
        </w:tabs>
        <w:ind w:right="44"/>
        <w:jc w:val="both"/>
        <w:rPr>
          <w:szCs w:val="24"/>
        </w:rPr>
      </w:pPr>
      <w:proofErr w:type="spellStart"/>
      <w:r w:rsidRPr="0045244C">
        <w:rPr>
          <w:szCs w:val="24"/>
        </w:rPr>
        <w:t>Stanje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dospjelih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obveza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na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kraju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izvještajnog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razdoblja</w:t>
      </w:r>
      <w:proofErr w:type="spellEnd"/>
      <w:r w:rsidRPr="0045244C">
        <w:rPr>
          <w:szCs w:val="24"/>
        </w:rPr>
        <w:t xml:space="preserve"> u </w:t>
      </w:r>
      <w:proofErr w:type="spellStart"/>
      <w:r w:rsidRPr="0045244C">
        <w:rPr>
          <w:szCs w:val="24"/>
        </w:rPr>
        <w:t>visini</w:t>
      </w:r>
      <w:proofErr w:type="spellEnd"/>
      <w:r w:rsidRPr="0045244C">
        <w:rPr>
          <w:szCs w:val="24"/>
        </w:rPr>
        <w:t xml:space="preserve"> 1.316.056,00 EUR se u</w:t>
      </w:r>
      <w:r w:rsidRPr="0045244C">
        <w:rPr>
          <w:b/>
          <w:szCs w:val="24"/>
        </w:rPr>
        <w:t xml:space="preserve"> </w:t>
      </w:r>
      <w:proofErr w:type="spellStart"/>
      <w:r w:rsidRPr="0045244C">
        <w:rPr>
          <w:szCs w:val="24"/>
        </w:rPr>
        <w:t>najvećoj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mjeri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odnosi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na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obveze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prema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proračunskim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korisnicima</w:t>
      </w:r>
      <w:proofErr w:type="spellEnd"/>
      <w:r w:rsidRPr="0045244C">
        <w:rPr>
          <w:szCs w:val="24"/>
        </w:rPr>
        <w:t xml:space="preserve"> u </w:t>
      </w:r>
      <w:proofErr w:type="spellStart"/>
      <w:r w:rsidRPr="0045244C">
        <w:rPr>
          <w:szCs w:val="24"/>
        </w:rPr>
        <w:t>iznosu</w:t>
      </w:r>
      <w:proofErr w:type="spellEnd"/>
      <w:r w:rsidRPr="0045244C">
        <w:rPr>
          <w:szCs w:val="24"/>
        </w:rPr>
        <w:t xml:space="preserve"> od 1.309.340,04 EUR </w:t>
      </w:r>
      <w:proofErr w:type="spellStart"/>
      <w:r w:rsidRPr="0045244C">
        <w:rPr>
          <w:szCs w:val="24"/>
        </w:rPr>
        <w:t>dok</w:t>
      </w:r>
      <w:proofErr w:type="spellEnd"/>
      <w:r w:rsidRPr="0045244C">
        <w:rPr>
          <w:szCs w:val="24"/>
        </w:rPr>
        <w:t xml:space="preserve"> se </w:t>
      </w:r>
      <w:proofErr w:type="spellStart"/>
      <w:r w:rsidRPr="0045244C">
        <w:rPr>
          <w:szCs w:val="24"/>
        </w:rPr>
        <w:t>ostatak</w:t>
      </w:r>
      <w:proofErr w:type="spellEnd"/>
      <w:r w:rsidRPr="0045244C">
        <w:rPr>
          <w:szCs w:val="24"/>
        </w:rPr>
        <w:t xml:space="preserve"> u </w:t>
      </w:r>
      <w:proofErr w:type="spellStart"/>
      <w:r w:rsidRPr="0045244C">
        <w:rPr>
          <w:szCs w:val="24"/>
        </w:rPr>
        <w:t>visini</w:t>
      </w:r>
      <w:proofErr w:type="spellEnd"/>
      <w:r w:rsidRPr="0045244C">
        <w:rPr>
          <w:szCs w:val="24"/>
        </w:rPr>
        <w:t xml:space="preserve"> 6.715,96 EUR </w:t>
      </w:r>
      <w:proofErr w:type="spellStart"/>
      <w:r w:rsidRPr="0045244C">
        <w:rPr>
          <w:szCs w:val="24"/>
        </w:rPr>
        <w:t>odnosi</w:t>
      </w:r>
      <w:proofErr w:type="spellEnd"/>
      <w:r w:rsidRPr="0045244C">
        <w:rPr>
          <w:b/>
          <w:szCs w:val="24"/>
        </w:rPr>
        <w:t xml:space="preserve"> </w:t>
      </w:r>
      <w:proofErr w:type="spellStart"/>
      <w:r w:rsidRPr="0045244C">
        <w:rPr>
          <w:szCs w:val="24"/>
        </w:rPr>
        <w:t>na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tekuće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obveze</w:t>
      </w:r>
      <w:proofErr w:type="spellEnd"/>
      <w:r w:rsidRPr="0045244C">
        <w:rPr>
          <w:szCs w:val="24"/>
        </w:rPr>
        <w:t xml:space="preserve"> za </w:t>
      </w:r>
      <w:proofErr w:type="spellStart"/>
      <w:r w:rsidRPr="0045244C">
        <w:rPr>
          <w:szCs w:val="24"/>
        </w:rPr>
        <w:t>materijalne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rashode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i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nabavu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nefinancijske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imovine</w:t>
      </w:r>
      <w:proofErr w:type="spellEnd"/>
      <w:r w:rsidRPr="0045244C">
        <w:rPr>
          <w:szCs w:val="24"/>
        </w:rPr>
        <w:t xml:space="preserve"> (</w:t>
      </w:r>
      <w:proofErr w:type="spellStart"/>
      <w:r w:rsidRPr="0045244C">
        <w:rPr>
          <w:szCs w:val="24"/>
        </w:rPr>
        <w:t>kod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ovih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obveza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nema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značajnih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kašnjenja</w:t>
      </w:r>
      <w:proofErr w:type="spellEnd"/>
      <w:r w:rsidRPr="0045244C">
        <w:rPr>
          <w:szCs w:val="24"/>
        </w:rPr>
        <w:t>).</w:t>
      </w:r>
    </w:p>
    <w:p w14:paraId="152071DC" w14:textId="08208409" w:rsidR="0045244C" w:rsidRDefault="0045244C" w:rsidP="0045244C">
      <w:pPr>
        <w:jc w:val="both"/>
        <w:rPr>
          <w:sz w:val="24"/>
          <w:szCs w:val="24"/>
        </w:rPr>
      </w:pPr>
    </w:p>
    <w:p w14:paraId="6651D6AD" w14:textId="5118CFA1" w:rsidR="0045244C" w:rsidRPr="00C7692A" w:rsidRDefault="0045244C" w:rsidP="0045244C">
      <w:pPr>
        <w:pStyle w:val="BodyText"/>
        <w:tabs>
          <w:tab w:val="left" w:pos="142"/>
          <w:tab w:val="left" w:pos="426"/>
        </w:tabs>
        <w:ind w:right="44"/>
        <w:jc w:val="both"/>
        <w:rPr>
          <w:rFonts w:eastAsiaTheme="minorHAnsi"/>
          <w:szCs w:val="24"/>
          <w:lang w:val="hr-HR"/>
        </w:rPr>
      </w:pPr>
      <w:proofErr w:type="spellStart"/>
      <w:r w:rsidRPr="00C7692A">
        <w:rPr>
          <w:szCs w:val="24"/>
        </w:rPr>
        <w:t>Dospjele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prema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proračunskim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korisnicima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visini</w:t>
      </w:r>
      <w:proofErr w:type="spellEnd"/>
      <w:r w:rsidRPr="00C7692A">
        <w:rPr>
          <w:szCs w:val="24"/>
        </w:rPr>
        <w:t xml:space="preserve"> </w:t>
      </w:r>
      <w:r>
        <w:rPr>
          <w:szCs w:val="24"/>
        </w:rPr>
        <w:t xml:space="preserve">1.309.340,04 </w:t>
      </w:r>
      <w:r w:rsidRPr="00C7692A">
        <w:rPr>
          <w:szCs w:val="24"/>
        </w:rPr>
        <w:t xml:space="preserve">EUR se </w:t>
      </w:r>
      <w:proofErr w:type="spellStart"/>
      <w:r w:rsidRPr="00C7692A">
        <w:rPr>
          <w:szCs w:val="24"/>
        </w:rPr>
        <w:t>odnose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na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prema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Sveučilištu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Splitu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visini</w:t>
      </w:r>
      <w:proofErr w:type="spellEnd"/>
      <w:r w:rsidRPr="00C7692A">
        <w:rPr>
          <w:szCs w:val="24"/>
        </w:rPr>
        <w:t xml:space="preserve"> </w:t>
      </w:r>
      <w:r>
        <w:rPr>
          <w:szCs w:val="24"/>
        </w:rPr>
        <w:t>1.297.144,</w:t>
      </w:r>
      <w:proofErr w:type="gramStart"/>
      <w:r>
        <w:rPr>
          <w:szCs w:val="24"/>
        </w:rPr>
        <w:t xml:space="preserve">43 </w:t>
      </w:r>
      <w:r w:rsidRPr="00C7692A">
        <w:rPr>
          <w:szCs w:val="24"/>
        </w:rPr>
        <w:t xml:space="preserve"> EUR</w:t>
      </w:r>
      <w:proofErr w:type="gram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dok</w:t>
      </w:r>
      <w:proofErr w:type="spellEnd"/>
      <w:r w:rsidRPr="00C7692A">
        <w:rPr>
          <w:szCs w:val="24"/>
        </w:rPr>
        <w:t xml:space="preserve"> se </w:t>
      </w:r>
      <w:r>
        <w:rPr>
          <w:szCs w:val="24"/>
        </w:rPr>
        <w:t>12.133,66</w:t>
      </w:r>
      <w:r w:rsidRPr="00C7692A">
        <w:rPr>
          <w:szCs w:val="24"/>
        </w:rPr>
        <w:t xml:space="preserve"> EUR </w:t>
      </w:r>
      <w:proofErr w:type="spellStart"/>
      <w:r w:rsidRPr="00C7692A">
        <w:rPr>
          <w:szCs w:val="24"/>
        </w:rPr>
        <w:t>odnosi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na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prema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Kliničkoj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bolnici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Splitu</w:t>
      </w:r>
      <w:proofErr w:type="spellEnd"/>
      <w:r>
        <w:rPr>
          <w:szCs w:val="24"/>
        </w:rPr>
        <w:t xml:space="preserve"> </w:t>
      </w:r>
      <w:proofErr w:type="spellStart"/>
      <w:r w:rsidRPr="0045244C">
        <w:rPr>
          <w:szCs w:val="24"/>
        </w:rPr>
        <w:t>te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će</w:t>
      </w:r>
      <w:proofErr w:type="spellEnd"/>
      <w:r w:rsidRPr="0045244C">
        <w:rPr>
          <w:szCs w:val="24"/>
        </w:rPr>
        <w:t xml:space="preserve"> se </w:t>
      </w:r>
      <w:proofErr w:type="spellStart"/>
      <w:r w:rsidRPr="0045244C">
        <w:rPr>
          <w:szCs w:val="24"/>
        </w:rPr>
        <w:t>navedene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obaveze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zatvoriti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kompenzacijom</w:t>
      </w:r>
      <w:proofErr w:type="spellEnd"/>
      <w:r w:rsidRPr="0045244C">
        <w:rPr>
          <w:szCs w:val="24"/>
        </w:rPr>
        <w:t xml:space="preserve">. </w:t>
      </w:r>
      <w:proofErr w:type="spellStart"/>
      <w:r w:rsidRPr="0045244C">
        <w:rPr>
          <w:szCs w:val="24"/>
        </w:rPr>
        <w:t>Ostatak</w:t>
      </w:r>
      <w:proofErr w:type="spellEnd"/>
      <w:r w:rsidRPr="0045244C">
        <w:rPr>
          <w:szCs w:val="24"/>
        </w:rPr>
        <w:t xml:space="preserve"> od 61,95 EUR se </w:t>
      </w:r>
      <w:proofErr w:type="spellStart"/>
      <w:r w:rsidRPr="0045244C">
        <w:rPr>
          <w:szCs w:val="24"/>
        </w:rPr>
        <w:t>odnosi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na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obaveze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prema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Sveučilištu</w:t>
      </w:r>
      <w:proofErr w:type="spellEnd"/>
      <w:r w:rsidRPr="0045244C">
        <w:rPr>
          <w:szCs w:val="24"/>
        </w:rPr>
        <w:t xml:space="preserve"> u </w:t>
      </w:r>
      <w:proofErr w:type="spellStart"/>
      <w:r w:rsidRPr="0045244C">
        <w:rPr>
          <w:szCs w:val="24"/>
        </w:rPr>
        <w:t>Zadru</w:t>
      </w:r>
      <w:proofErr w:type="spellEnd"/>
      <w:r w:rsidRPr="0045244C">
        <w:rPr>
          <w:szCs w:val="24"/>
        </w:rPr>
        <w:t xml:space="preserve"> bez </w:t>
      </w:r>
      <w:proofErr w:type="spellStart"/>
      <w:r w:rsidRPr="0045244C">
        <w:rPr>
          <w:szCs w:val="24"/>
        </w:rPr>
        <w:t>značajnog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kašnjenja</w:t>
      </w:r>
      <w:proofErr w:type="spellEnd"/>
    </w:p>
    <w:p w14:paraId="62761007" w14:textId="77777777" w:rsidR="0045244C" w:rsidRPr="0045244C" w:rsidRDefault="0045244C" w:rsidP="0045244C">
      <w:pPr>
        <w:jc w:val="both"/>
        <w:rPr>
          <w:sz w:val="24"/>
          <w:szCs w:val="24"/>
        </w:rPr>
      </w:pPr>
    </w:p>
    <w:p w14:paraId="18BCC284" w14:textId="53A5A7CF" w:rsidR="0045244C" w:rsidRPr="0045244C" w:rsidRDefault="0045244C" w:rsidP="0045244C">
      <w:pPr>
        <w:pStyle w:val="BodyText"/>
        <w:tabs>
          <w:tab w:val="left" w:pos="142"/>
          <w:tab w:val="left" w:pos="426"/>
        </w:tabs>
        <w:ind w:right="44"/>
        <w:jc w:val="both"/>
        <w:rPr>
          <w:szCs w:val="24"/>
        </w:rPr>
      </w:pPr>
      <w:proofErr w:type="spellStart"/>
      <w:r w:rsidRPr="00C7692A">
        <w:rPr>
          <w:szCs w:val="24"/>
        </w:rPr>
        <w:t>Iznos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dospjelih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prema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Sveučilištu</w:t>
      </w:r>
      <w:proofErr w:type="spellEnd"/>
      <w:r w:rsidRPr="00C7692A">
        <w:rPr>
          <w:szCs w:val="24"/>
        </w:rPr>
        <w:t xml:space="preserve"> u </w:t>
      </w:r>
      <w:proofErr w:type="spellStart"/>
      <w:r w:rsidRPr="00C7692A">
        <w:rPr>
          <w:szCs w:val="24"/>
        </w:rPr>
        <w:t>Splitu</w:t>
      </w:r>
      <w:proofErr w:type="spellEnd"/>
      <w:r w:rsidRPr="00C7692A">
        <w:rPr>
          <w:szCs w:val="24"/>
        </w:rPr>
        <w:t xml:space="preserve"> se </w:t>
      </w:r>
      <w:proofErr w:type="spellStart"/>
      <w:r w:rsidRPr="00C7692A">
        <w:rPr>
          <w:szCs w:val="24"/>
        </w:rPr>
        <w:t>odnosi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na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obračunate</w:t>
      </w:r>
      <w:proofErr w:type="spellEnd"/>
      <w:r w:rsidRPr="00C7692A">
        <w:rPr>
          <w:szCs w:val="24"/>
        </w:rPr>
        <w:t xml:space="preserve"> </w:t>
      </w:r>
      <w:proofErr w:type="spellStart"/>
      <w:r w:rsidRPr="00C7692A">
        <w:rPr>
          <w:szCs w:val="24"/>
        </w:rPr>
        <w:t>obveze</w:t>
      </w:r>
      <w:proofErr w:type="spellEnd"/>
      <w:r w:rsidRPr="00C7692A">
        <w:rPr>
          <w:szCs w:val="24"/>
        </w:rPr>
        <w:t xml:space="preserve"> </w:t>
      </w:r>
      <w:r w:rsidRPr="00C7692A">
        <w:rPr>
          <w:rFonts w:eastAsiaTheme="minorHAnsi"/>
          <w:szCs w:val="24"/>
          <w:lang w:val="hr-HR"/>
        </w:rPr>
        <w:t xml:space="preserve">u visini 15% od školarina studija Medicina na engleskom jeziku za ak. godinu 2020/2021. (dio) za ak. godinu 2021/2022 </w:t>
      </w:r>
      <w:r>
        <w:rPr>
          <w:rFonts w:eastAsiaTheme="minorHAnsi"/>
          <w:szCs w:val="24"/>
          <w:lang w:val="hr-HR"/>
        </w:rPr>
        <w:t xml:space="preserve">, </w:t>
      </w:r>
      <w:r w:rsidRPr="00C7692A">
        <w:rPr>
          <w:rFonts w:eastAsiaTheme="minorHAnsi"/>
          <w:szCs w:val="24"/>
          <w:lang w:val="hr-HR"/>
        </w:rPr>
        <w:t>2022/2023</w:t>
      </w:r>
      <w:r>
        <w:rPr>
          <w:rFonts w:eastAsiaTheme="minorHAnsi"/>
          <w:szCs w:val="24"/>
          <w:lang w:val="hr-HR"/>
        </w:rPr>
        <w:t xml:space="preserve"> te za ak. godinu 2023/2024 u ukupnom iznosu od </w:t>
      </w:r>
      <w:r w:rsidRPr="0045244C">
        <w:rPr>
          <w:szCs w:val="24"/>
        </w:rPr>
        <w:t>1.297.144,43  EUR</w:t>
      </w:r>
      <w:r>
        <w:rPr>
          <w:szCs w:val="24"/>
        </w:rPr>
        <w:t>.</w:t>
      </w:r>
      <w:r w:rsidRPr="0045244C">
        <w:rPr>
          <w:szCs w:val="24"/>
        </w:rPr>
        <w:t xml:space="preserve"> S </w:t>
      </w:r>
      <w:proofErr w:type="spellStart"/>
      <w:r w:rsidRPr="0045244C">
        <w:rPr>
          <w:szCs w:val="24"/>
        </w:rPr>
        <w:t>obzirom</w:t>
      </w:r>
      <w:proofErr w:type="spellEnd"/>
      <w:r w:rsidRPr="0045244C">
        <w:rPr>
          <w:szCs w:val="24"/>
        </w:rPr>
        <w:t xml:space="preserve"> da se </w:t>
      </w:r>
      <w:proofErr w:type="spellStart"/>
      <w:r w:rsidRPr="0045244C">
        <w:rPr>
          <w:szCs w:val="24"/>
        </w:rPr>
        <w:t>radi</w:t>
      </w:r>
      <w:proofErr w:type="spellEnd"/>
      <w:r w:rsidRPr="0045244C">
        <w:rPr>
          <w:szCs w:val="24"/>
        </w:rPr>
        <w:t xml:space="preserve"> o </w:t>
      </w:r>
      <w:proofErr w:type="spellStart"/>
      <w:r w:rsidRPr="0045244C">
        <w:rPr>
          <w:szCs w:val="24"/>
        </w:rPr>
        <w:t>visokim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iznosima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koje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značajno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utječu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na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likvidnost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Fakulteta</w:t>
      </w:r>
      <w:proofErr w:type="spellEnd"/>
      <w:r w:rsidRPr="0045244C">
        <w:rPr>
          <w:szCs w:val="24"/>
        </w:rPr>
        <w:t xml:space="preserve">, </w:t>
      </w:r>
      <w:proofErr w:type="spellStart"/>
      <w:r w:rsidRPr="0045244C">
        <w:rPr>
          <w:szCs w:val="24"/>
        </w:rPr>
        <w:t>sa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Sveučilištem</w:t>
      </w:r>
      <w:proofErr w:type="spellEnd"/>
      <w:r w:rsidRPr="0045244C">
        <w:rPr>
          <w:szCs w:val="24"/>
        </w:rPr>
        <w:t xml:space="preserve"> je </w:t>
      </w:r>
      <w:proofErr w:type="spellStart"/>
      <w:r w:rsidRPr="0045244C">
        <w:rPr>
          <w:szCs w:val="24"/>
        </w:rPr>
        <w:t>dogovoreno</w:t>
      </w:r>
      <w:proofErr w:type="spellEnd"/>
      <w:r w:rsidRPr="0045244C">
        <w:rPr>
          <w:szCs w:val="24"/>
        </w:rPr>
        <w:t xml:space="preserve"> da </w:t>
      </w:r>
      <w:proofErr w:type="spellStart"/>
      <w:r w:rsidRPr="0045244C">
        <w:rPr>
          <w:szCs w:val="24"/>
        </w:rPr>
        <w:t>će</w:t>
      </w:r>
      <w:proofErr w:type="spellEnd"/>
      <w:r w:rsidRPr="0045244C">
        <w:rPr>
          <w:szCs w:val="24"/>
        </w:rPr>
        <w:t xml:space="preserve"> se </w:t>
      </w:r>
      <w:proofErr w:type="spellStart"/>
      <w:r w:rsidRPr="0045244C">
        <w:rPr>
          <w:szCs w:val="24"/>
        </w:rPr>
        <w:t>postojeća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obveza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plaćati</w:t>
      </w:r>
      <w:proofErr w:type="spellEnd"/>
      <w:r w:rsidRPr="0045244C">
        <w:rPr>
          <w:szCs w:val="24"/>
        </w:rPr>
        <w:t xml:space="preserve"> u </w:t>
      </w:r>
      <w:proofErr w:type="spellStart"/>
      <w:r w:rsidRPr="0045244C">
        <w:rPr>
          <w:szCs w:val="24"/>
        </w:rPr>
        <w:t>tranšama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prema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financijskim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lastRenderedPageBreak/>
        <w:t>mogućnostima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Fakulteta</w:t>
      </w:r>
      <w:proofErr w:type="spellEnd"/>
      <w:r w:rsidRPr="0045244C">
        <w:rPr>
          <w:szCs w:val="24"/>
        </w:rPr>
        <w:t xml:space="preserve">. U </w:t>
      </w:r>
      <w:proofErr w:type="spellStart"/>
      <w:r w:rsidRPr="0045244C">
        <w:rPr>
          <w:szCs w:val="24"/>
        </w:rPr>
        <w:t>prvih</w:t>
      </w:r>
      <w:proofErr w:type="spellEnd"/>
      <w:r w:rsidRPr="0045244C">
        <w:rPr>
          <w:szCs w:val="24"/>
        </w:rPr>
        <w:t xml:space="preserve"> 6 </w:t>
      </w:r>
      <w:proofErr w:type="spellStart"/>
      <w:r w:rsidRPr="0045244C">
        <w:rPr>
          <w:szCs w:val="24"/>
        </w:rPr>
        <w:t>mjeseci</w:t>
      </w:r>
      <w:proofErr w:type="spellEnd"/>
      <w:r w:rsidRPr="0045244C">
        <w:rPr>
          <w:szCs w:val="24"/>
        </w:rPr>
        <w:t xml:space="preserve"> 2024. </w:t>
      </w:r>
      <w:proofErr w:type="spellStart"/>
      <w:r w:rsidRPr="0045244C">
        <w:rPr>
          <w:szCs w:val="24"/>
        </w:rPr>
        <w:t>godine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Sveučilištu</w:t>
      </w:r>
      <w:proofErr w:type="spellEnd"/>
      <w:r w:rsidRPr="0045244C">
        <w:rPr>
          <w:szCs w:val="24"/>
        </w:rPr>
        <w:t xml:space="preserve"> je </w:t>
      </w:r>
      <w:proofErr w:type="spellStart"/>
      <w:r w:rsidRPr="0045244C">
        <w:rPr>
          <w:szCs w:val="24"/>
        </w:rPr>
        <w:t>uplaćeno</w:t>
      </w:r>
      <w:proofErr w:type="spellEnd"/>
      <w:r w:rsidRPr="0045244C">
        <w:rPr>
          <w:szCs w:val="24"/>
        </w:rPr>
        <w:t xml:space="preserve"> 36.989,57 EUR po </w:t>
      </w:r>
      <w:proofErr w:type="spellStart"/>
      <w:r w:rsidRPr="0045244C">
        <w:rPr>
          <w:szCs w:val="24"/>
        </w:rPr>
        <w:t>osnovi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udjela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Sveučilišta</w:t>
      </w:r>
      <w:proofErr w:type="spellEnd"/>
      <w:r w:rsidRPr="0045244C">
        <w:rPr>
          <w:szCs w:val="24"/>
        </w:rPr>
        <w:t xml:space="preserve"> u </w:t>
      </w:r>
      <w:proofErr w:type="spellStart"/>
      <w:r w:rsidRPr="0045244C">
        <w:rPr>
          <w:szCs w:val="24"/>
        </w:rPr>
        <w:t>prihodima</w:t>
      </w:r>
      <w:proofErr w:type="spellEnd"/>
      <w:r w:rsidRPr="0045244C">
        <w:rPr>
          <w:szCs w:val="24"/>
        </w:rPr>
        <w:t xml:space="preserve"> </w:t>
      </w:r>
      <w:proofErr w:type="spellStart"/>
      <w:r w:rsidRPr="0045244C">
        <w:rPr>
          <w:szCs w:val="24"/>
        </w:rPr>
        <w:t>Fakulteta</w:t>
      </w:r>
      <w:proofErr w:type="spellEnd"/>
      <w:r w:rsidRPr="0045244C">
        <w:rPr>
          <w:szCs w:val="24"/>
        </w:rPr>
        <w:t>.</w:t>
      </w:r>
    </w:p>
    <w:p w14:paraId="49F92738" w14:textId="77777777" w:rsidR="00440F5E" w:rsidRPr="0045244C" w:rsidRDefault="00440F5E" w:rsidP="00440F5E">
      <w:pPr>
        <w:rPr>
          <w:rFonts w:ascii="Times New Roman" w:hAnsi="Times New Roman" w:cs="Times New Roman"/>
          <w:sz w:val="24"/>
          <w:szCs w:val="24"/>
        </w:rPr>
      </w:pPr>
    </w:p>
    <w:p w14:paraId="4482AC3C" w14:textId="77777777" w:rsidR="00F35176" w:rsidRPr="0045244C" w:rsidRDefault="00F35176" w:rsidP="005337ED">
      <w:pPr>
        <w:pStyle w:val="BodyText"/>
        <w:tabs>
          <w:tab w:val="left" w:pos="142"/>
          <w:tab w:val="left" w:pos="426"/>
        </w:tabs>
        <w:jc w:val="both"/>
        <w:rPr>
          <w:szCs w:val="24"/>
        </w:rPr>
      </w:pPr>
    </w:p>
    <w:p w14:paraId="64164D44" w14:textId="77777777" w:rsidR="00F35176" w:rsidRPr="00C7692A" w:rsidRDefault="00F35176" w:rsidP="005337ED">
      <w:pPr>
        <w:pStyle w:val="BodyText"/>
        <w:tabs>
          <w:tab w:val="left" w:pos="142"/>
          <w:tab w:val="left" w:pos="426"/>
        </w:tabs>
        <w:jc w:val="both"/>
        <w:rPr>
          <w:szCs w:val="24"/>
        </w:rPr>
      </w:pPr>
    </w:p>
    <w:p w14:paraId="469F10E1" w14:textId="1B51F50E" w:rsidR="00F35176" w:rsidRPr="00C7692A" w:rsidRDefault="00F35176" w:rsidP="005337ED">
      <w:pPr>
        <w:pStyle w:val="BodyText"/>
        <w:tabs>
          <w:tab w:val="left" w:pos="142"/>
          <w:tab w:val="left" w:pos="426"/>
        </w:tabs>
        <w:jc w:val="both"/>
        <w:rPr>
          <w:szCs w:val="24"/>
        </w:rPr>
      </w:pPr>
      <w:r w:rsidRPr="00C7692A">
        <w:rPr>
          <w:szCs w:val="24"/>
        </w:rPr>
        <w:t xml:space="preserve">                                                                                </w:t>
      </w:r>
      <w:r w:rsidR="000D1E35" w:rsidRPr="00C7692A">
        <w:rPr>
          <w:szCs w:val="24"/>
        </w:rPr>
        <w:t xml:space="preserve">                         </w:t>
      </w:r>
      <w:r w:rsidRPr="00C7692A">
        <w:rPr>
          <w:szCs w:val="24"/>
        </w:rPr>
        <w:t>DEKAN:</w:t>
      </w:r>
    </w:p>
    <w:p w14:paraId="5F576625" w14:textId="77777777" w:rsidR="00F35176" w:rsidRPr="00C7692A" w:rsidRDefault="00F35176" w:rsidP="005337ED">
      <w:pPr>
        <w:pStyle w:val="BodyText"/>
        <w:tabs>
          <w:tab w:val="left" w:pos="142"/>
          <w:tab w:val="left" w:pos="426"/>
        </w:tabs>
        <w:jc w:val="both"/>
        <w:rPr>
          <w:szCs w:val="24"/>
        </w:rPr>
      </w:pPr>
    </w:p>
    <w:p w14:paraId="36F6948D" w14:textId="77777777" w:rsidR="00F35176" w:rsidRPr="00C7692A" w:rsidRDefault="00F35176" w:rsidP="00F35176">
      <w:pPr>
        <w:ind w:left="38" w:right="192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D48DFDD" w14:textId="74788B81" w:rsidR="00F35176" w:rsidRPr="00D16BF9" w:rsidRDefault="00F35176" w:rsidP="00CF0B02">
      <w:pPr>
        <w:ind w:left="38" w:right="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2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</w:t>
      </w:r>
      <w:r w:rsidRPr="00C04643">
        <w:rPr>
          <w:rFonts w:ascii="Times New Roman" w:hAnsi="Times New Roman" w:cs="Times New Roman"/>
          <w:noProof/>
          <w:sz w:val="24"/>
          <w:szCs w:val="24"/>
        </w:rPr>
        <w:t xml:space="preserve">                  Prof. dr. sc. Ante Tonkić</w:t>
      </w:r>
    </w:p>
    <w:sectPr w:rsidR="00F35176" w:rsidRPr="00D16BF9" w:rsidSect="00131EB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CE4"/>
    <w:multiLevelType w:val="hybridMultilevel"/>
    <w:tmpl w:val="47FE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41F37"/>
    <w:multiLevelType w:val="hybridMultilevel"/>
    <w:tmpl w:val="C950B578"/>
    <w:lvl w:ilvl="0" w:tplc="09427E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8C799E"/>
    <w:multiLevelType w:val="hybridMultilevel"/>
    <w:tmpl w:val="58B8FACC"/>
    <w:lvl w:ilvl="0" w:tplc="286E5A2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175075"/>
    <w:multiLevelType w:val="hybridMultilevel"/>
    <w:tmpl w:val="9866F0FE"/>
    <w:lvl w:ilvl="0" w:tplc="06C64F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CF4AE">
      <w:start w:val="2"/>
      <w:numFmt w:val="decimal"/>
      <w:lvlText w:val="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E8C0C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CE162">
      <w:start w:val="1"/>
      <w:numFmt w:val="decimal"/>
      <w:lvlText w:val="%4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ACDA0">
      <w:start w:val="1"/>
      <w:numFmt w:val="lowerLetter"/>
      <w:lvlText w:val="%5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6DA6">
      <w:start w:val="1"/>
      <w:numFmt w:val="lowerRoman"/>
      <w:lvlText w:val="%6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E512C">
      <w:start w:val="1"/>
      <w:numFmt w:val="decimal"/>
      <w:lvlText w:val="%7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41404">
      <w:start w:val="1"/>
      <w:numFmt w:val="lowerLetter"/>
      <w:lvlText w:val="%8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5E5E">
      <w:start w:val="1"/>
      <w:numFmt w:val="lowerRoman"/>
      <w:lvlText w:val="%9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408D"/>
    <w:rsid w:val="00004410"/>
    <w:rsid w:val="00017583"/>
    <w:rsid w:val="00030383"/>
    <w:rsid w:val="00034226"/>
    <w:rsid w:val="000358B1"/>
    <w:rsid w:val="00040720"/>
    <w:rsid w:val="000465B7"/>
    <w:rsid w:val="00061A4D"/>
    <w:rsid w:val="000926E5"/>
    <w:rsid w:val="000976E8"/>
    <w:rsid w:val="000A1A2E"/>
    <w:rsid w:val="000A2D21"/>
    <w:rsid w:val="000B134B"/>
    <w:rsid w:val="000B75E2"/>
    <w:rsid w:val="000D0A1C"/>
    <w:rsid w:val="000D1E35"/>
    <w:rsid w:val="000D20C9"/>
    <w:rsid w:val="000D4AC3"/>
    <w:rsid w:val="00125B20"/>
    <w:rsid w:val="00130ADB"/>
    <w:rsid w:val="00131EB5"/>
    <w:rsid w:val="00140B39"/>
    <w:rsid w:val="0014109F"/>
    <w:rsid w:val="00143083"/>
    <w:rsid w:val="001440CC"/>
    <w:rsid w:val="00144A2B"/>
    <w:rsid w:val="0016712B"/>
    <w:rsid w:val="001759AB"/>
    <w:rsid w:val="0017698C"/>
    <w:rsid w:val="0017743F"/>
    <w:rsid w:val="00186B7B"/>
    <w:rsid w:val="001C2688"/>
    <w:rsid w:val="001E344D"/>
    <w:rsid w:val="001E6603"/>
    <w:rsid w:val="001F3085"/>
    <w:rsid w:val="00201CC6"/>
    <w:rsid w:val="0020237C"/>
    <w:rsid w:val="002052E4"/>
    <w:rsid w:val="0020638B"/>
    <w:rsid w:val="00230375"/>
    <w:rsid w:val="00245B1D"/>
    <w:rsid w:val="00260F93"/>
    <w:rsid w:val="002645E1"/>
    <w:rsid w:val="00271A52"/>
    <w:rsid w:val="002768DF"/>
    <w:rsid w:val="002771EE"/>
    <w:rsid w:val="0029476B"/>
    <w:rsid w:val="00294C39"/>
    <w:rsid w:val="0029735D"/>
    <w:rsid w:val="00297F7A"/>
    <w:rsid w:val="002A1511"/>
    <w:rsid w:val="002B2C1E"/>
    <w:rsid w:val="002B6A5F"/>
    <w:rsid w:val="002C75E1"/>
    <w:rsid w:val="002E20C8"/>
    <w:rsid w:val="002F0B8A"/>
    <w:rsid w:val="00310E1F"/>
    <w:rsid w:val="003268E9"/>
    <w:rsid w:val="00340357"/>
    <w:rsid w:val="00340BFA"/>
    <w:rsid w:val="003476B0"/>
    <w:rsid w:val="003510AB"/>
    <w:rsid w:val="00354684"/>
    <w:rsid w:val="0038493D"/>
    <w:rsid w:val="003A22DB"/>
    <w:rsid w:val="003A4707"/>
    <w:rsid w:val="003A476B"/>
    <w:rsid w:val="003A77B9"/>
    <w:rsid w:val="003B08EB"/>
    <w:rsid w:val="003E43EC"/>
    <w:rsid w:val="0040017C"/>
    <w:rsid w:val="00407290"/>
    <w:rsid w:val="00440F5E"/>
    <w:rsid w:val="0045244C"/>
    <w:rsid w:val="00453591"/>
    <w:rsid w:val="00466878"/>
    <w:rsid w:val="00477211"/>
    <w:rsid w:val="00484DC2"/>
    <w:rsid w:val="004A7709"/>
    <w:rsid w:val="004D01FC"/>
    <w:rsid w:val="004F670F"/>
    <w:rsid w:val="004F78E8"/>
    <w:rsid w:val="00522E8A"/>
    <w:rsid w:val="005337ED"/>
    <w:rsid w:val="00550FF6"/>
    <w:rsid w:val="005722A3"/>
    <w:rsid w:val="005B1A6B"/>
    <w:rsid w:val="005B26B0"/>
    <w:rsid w:val="005C1418"/>
    <w:rsid w:val="005E59D2"/>
    <w:rsid w:val="00600C7F"/>
    <w:rsid w:val="00601981"/>
    <w:rsid w:val="00605080"/>
    <w:rsid w:val="006069A8"/>
    <w:rsid w:val="0061016D"/>
    <w:rsid w:val="00624C16"/>
    <w:rsid w:val="00630C67"/>
    <w:rsid w:val="006423E7"/>
    <w:rsid w:val="00643CDA"/>
    <w:rsid w:val="00645301"/>
    <w:rsid w:val="0065105C"/>
    <w:rsid w:val="00651DE0"/>
    <w:rsid w:val="00660C52"/>
    <w:rsid w:val="00662506"/>
    <w:rsid w:val="00662836"/>
    <w:rsid w:val="006646DE"/>
    <w:rsid w:val="00674C61"/>
    <w:rsid w:val="006C3253"/>
    <w:rsid w:val="006C4BDE"/>
    <w:rsid w:val="006C6845"/>
    <w:rsid w:val="006F1FD0"/>
    <w:rsid w:val="007010B6"/>
    <w:rsid w:val="00715B13"/>
    <w:rsid w:val="0072334A"/>
    <w:rsid w:val="0073304A"/>
    <w:rsid w:val="007458F4"/>
    <w:rsid w:val="00757F9F"/>
    <w:rsid w:val="00786576"/>
    <w:rsid w:val="007924CD"/>
    <w:rsid w:val="007A07B1"/>
    <w:rsid w:val="007C33EF"/>
    <w:rsid w:val="007D706F"/>
    <w:rsid w:val="007E0D95"/>
    <w:rsid w:val="007E77E0"/>
    <w:rsid w:val="008130BD"/>
    <w:rsid w:val="0081432C"/>
    <w:rsid w:val="00826E24"/>
    <w:rsid w:val="008436FE"/>
    <w:rsid w:val="008524C5"/>
    <w:rsid w:val="00852812"/>
    <w:rsid w:val="00860432"/>
    <w:rsid w:val="00882328"/>
    <w:rsid w:val="008824AD"/>
    <w:rsid w:val="0088307C"/>
    <w:rsid w:val="00886D68"/>
    <w:rsid w:val="00892516"/>
    <w:rsid w:val="008A5BC8"/>
    <w:rsid w:val="008D5373"/>
    <w:rsid w:val="008D685C"/>
    <w:rsid w:val="008E7111"/>
    <w:rsid w:val="008F6383"/>
    <w:rsid w:val="0090618B"/>
    <w:rsid w:val="009137E6"/>
    <w:rsid w:val="00915820"/>
    <w:rsid w:val="00933901"/>
    <w:rsid w:val="0094274B"/>
    <w:rsid w:val="009461F5"/>
    <w:rsid w:val="00952371"/>
    <w:rsid w:val="009541D4"/>
    <w:rsid w:val="00955BA8"/>
    <w:rsid w:val="00956A0B"/>
    <w:rsid w:val="0096117D"/>
    <w:rsid w:val="00975BA7"/>
    <w:rsid w:val="00976EAF"/>
    <w:rsid w:val="009A6E47"/>
    <w:rsid w:val="009C6889"/>
    <w:rsid w:val="009D3CB8"/>
    <w:rsid w:val="009D7CA0"/>
    <w:rsid w:val="009F002F"/>
    <w:rsid w:val="009F1895"/>
    <w:rsid w:val="009F4042"/>
    <w:rsid w:val="009F429E"/>
    <w:rsid w:val="00A178D0"/>
    <w:rsid w:val="00A27FC7"/>
    <w:rsid w:val="00A811F3"/>
    <w:rsid w:val="00A84B63"/>
    <w:rsid w:val="00A8762C"/>
    <w:rsid w:val="00A94E94"/>
    <w:rsid w:val="00A94FD3"/>
    <w:rsid w:val="00A97FD0"/>
    <w:rsid w:val="00AA37D4"/>
    <w:rsid w:val="00AC17FA"/>
    <w:rsid w:val="00AC288F"/>
    <w:rsid w:val="00AC3E27"/>
    <w:rsid w:val="00AC6668"/>
    <w:rsid w:val="00AD1A68"/>
    <w:rsid w:val="00AE2812"/>
    <w:rsid w:val="00B25C63"/>
    <w:rsid w:val="00B326AF"/>
    <w:rsid w:val="00B633FC"/>
    <w:rsid w:val="00B7793B"/>
    <w:rsid w:val="00B823A7"/>
    <w:rsid w:val="00BB705E"/>
    <w:rsid w:val="00BC2554"/>
    <w:rsid w:val="00BC3C35"/>
    <w:rsid w:val="00BD6DFD"/>
    <w:rsid w:val="00BE3467"/>
    <w:rsid w:val="00BF44C6"/>
    <w:rsid w:val="00C04643"/>
    <w:rsid w:val="00C12D8A"/>
    <w:rsid w:val="00C1476B"/>
    <w:rsid w:val="00C22891"/>
    <w:rsid w:val="00C26489"/>
    <w:rsid w:val="00C7692A"/>
    <w:rsid w:val="00C859FA"/>
    <w:rsid w:val="00C91BC7"/>
    <w:rsid w:val="00C92CFE"/>
    <w:rsid w:val="00C94FAE"/>
    <w:rsid w:val="00CA12E2"/>
    <w:rsid w:val="00CD1810"/>
    <w:rsid w:val="00CF0B02"/>
    <w:rsid w:val="00D019AB"/>
    <w:rsid w:val="00D11BF6"/>
    <w:rsid w:val="00D16BF9"/>
    <w:rsid w:val="00D350E8"/>
    <w:rsid w:val="00D545E6"/>
    <w:rsid w:val="00D57ED6"/>
    <w:rsid w:val="00D673BA"/>
    <w:rsid w:val="00D81CC3"/>
    <w:rsid w:val="00D97663"/>
    <w:rsid w:val="00DA46F3"/>
    <w:rsid w:val="00DA4CF1"/>
    <w:rsid w:val="00DB567B"/>
    <w:rsid w:val="00DB632E"/>
    <w:rsid w:val="00DC5BFB"/>
    <w:rsid w:val="00DD2586"/>
    <w:rsid w:val="00DE699B"/>
    <w:rsid w:val="00DF01B9"/>
    <w:rsid w:val="00DF778D"/>
    <w:rsid w:val="00DF7C95"/>
    <w:rsid w:val="00E02259"/>
    <w:rsid w:val="00E24F51"/>
    <w:rsid w:val="00E34EA9"/>
    <w:rsid w:val="00E4562C"/>
    <w:rsid w:val="00E70FCE"/>
    <w:rsid w:val="00E74D93"/>
    <w:rsid w:val="00E94CE8"/>
    <w:rsid w:val="00E95803"/>
    <w:rsid w:val="00E9714D"/>
    <w:rsid w:val="00EA0B7F"/>
    <w:rsid w:val="00EA5FA6"/>
    <w:rsid w:val="00EB5B6E"/>
    <w:rsid w:val="00EB5DBF"/>
    <w:rsid w:val="00EF06EC"/>
    <w:rsid w:val="00EF79CD"/>
    <w:rsid w:val="00F14325"/>
    <w:rsid w:val="00F163B2"/>
    <w:rsid w:val="00F20D66"/>
    <w:rsid w:val="00F245E9"/>
    <w:rsid w:val="00F35176"/>
    <w:rsid w:val="00F44C4D"/>
    <w:rsid w:val="00F471E7"/>
    <w:rsid w:val="00F5598E"/>
    <w:rsid w:val="00F568D6"/>
    <w:rsid w:val="00F70550"/>
    <w:rsid w:val="00F7685D"/>
    <w:rsid w:val="00F91BB8"/>
    <w:rsid w:val="00FA5395"/>
    <w:rsid w:val="00FA7A3C"/>
    <w:rsid w:val="00FC3944"/>
    <w:rsid w:val="00FE2E26"/>
    <w:rsid w:val="00FE3853"/>
    <w:rsid w:val="00FE678D"/>
    <w:rsid w:val="00FF4021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A97C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33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3901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3901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0175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17583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E3E7-5617-4A49-9ACA-6B6F9663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2288</Words>
  <Characters>13043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Nada Popović Jakus</cp:lastModifiedBy>
  <cp:revision>4</cp:revision>
  <cp:lastPrinted>2024-11-14T12:55:00Z</cp:lastPrinted>
  <dcterms:created xsi:type="dcterms:W3CDTF">2024-12-17T12:57:00Z</dcterms:created>
  <dcterms:modified xsi:type="dcterms:W3CDTF">2024-12-17T13:29:00Z</dcterms:modified>
</cp:coreProperties>
</file>